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57" w:rsidRDefault="00E67457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A6DCC" w:rsidRPr="007A6648" w:rsidTr="007A6DCC">
        <w:trPr>
          <w:trHeight w:val="311"/>
        </w:trPr>
        <w:tc>
          <w:tcPr>
            <w:tcW w:w="3256" w:type="dxa"/>
            <w:shd w:val="clear" w:color="000000" w:fill="EDEDED"/>
            <w:noWrap/>
            <w:vAlign w:val="center"/>
            <w:hideMark/>
          </w:tcPr>
          <w:p w:rsidR="007A6DCC" w:rsidRPr="00E96476" w:rsidRDefault="007A6DCC" w:rsidP="007A6DCC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Naziv obveznika</w:t>
            </w:r>
          </w:p>
        </w:tc>
        <w:tc>
          <w:tcPr>
            <w:tcW w:w="6378" w:type="dxa"/>
            <w:shd w:val="clear" w:color="000000" w:fill="EDEDED"/>
            <w:vAlign w:val="bottom"/>
            <w:hideMark/>
          </w:tcPr>
          <w:p w:rsidR="007A6DCC" w:rsidRPr="00E96476" w:rsidRDefault="007A6DCC" w:rsidP="007A6DCC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DJEČJI VRTIĆ SISAK STARI</w:t>
            </w:r>
          </w:p>
        </w:tc>
      </w:tr>
      <w:tr w:rsidR="007A6DCC" w:rsidRPr="007A6648" w:rsidTr="007A6DCC">
        <w:trPr>
          <w:trHeight w:val="287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Pr="00E96476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Broj RKP-a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28895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Pr="00E96476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Sjedište obveznika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SISAK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Matični broj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03978281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Adresa sjedišta obvezanika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Lonjska 19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OIB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16572476333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Razina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21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Razdjel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djelatnosti prema NKD-u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8510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županije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3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grada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391</w:t>
            </w:r>
          </w:p>
        </w:tc>
      </w:tr>
    </w:tbl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Pr="007A6DCC" w:rsidRDefault="007A6DCC" w:rsidP="007A6D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 xml:space="preserve">BILJEŠKE </w:t>
      </w:r>
    </w:p>
    <w:p w:rsidR="007A6DCC" w:rsidRPr="007A6DCC" w:rsidRDefault="007A6DCC" w:rsidP="007A6D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 xml:space="preserve">UZ FINANCIJSKE IZVJEŠTAJE </w:t>
      </w:r>
    </w:p>
    <w:p w:rsidR="007A6DCC" w:rsidRDefault="007A6DCC" w:rsidP="007A6DCC">
      <w:pPr>
        <w:jc w:val="center"/>
        <w:rPr>
          <w:rFonts w:ascii="Calibri" w:hAnsi="Calibri" w:cs="Calibri"/>
          <w:bCs/>
          <w:u w:val="single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>ZA RAZDOBLJE OD 01. SIJEČNJA DO 31. PROSINCA 2022. GODINE</w:t>
      </w: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A50FF4" w:rsidRDefault="00A50FF4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648" w:rsidRDefault="007A6648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231D7" w:rsidRDefault="006231D7" w:rsidP="00A50FF4">
      <w:pPr>
        <w:rPr>
          <w:rFonts w:ascii="Calibri" w:hAnsi="Calibri" w:cs="Calibri"/>
          <w:bCs/>
          <w:sz w:val="28"/>
          <w:szCs w:val="28"/>
        </w:rPr>
      </w:pPr>
    </w:p>
    <w:p w:rsidR="006231D7" w:rsidRPr="009823EC" w:rsidRDefault="006231D7" w:rsidP="00A50FF4">
      <w:pPr>
        <w:rPr>
          <w:rFonts w:asciiTheme="minorHAnsi" w:hAnsiTheme="minorHAnsi" w:cstheme="minorHAnsi"/>
          <w:b/>
          <w:bCs/>
        </w:rPr>
      </w:pPr>
      <w:r w:rsidRPr="009823EC">
        <w:rPr>
          <w:rFonts w:asciiTheme="minorHAnsi" w:hAnsiTheme="minorHAnsi" w:cstheme="minorHAnsi"/>
          <w:b/>
          <w:bCs/>
        </w:rPr>
        <w:t>UVOD</w:t>
      </w:r>
    </w:p>
    <w:p w:rsidR="006231D7" w:rsidRPr="001E1630" w:rsidRDefault="006231D7" w:rsidP="000C22C5">
      <w:pPr>
        <w:jc w:val="both"/>
        <w:rPr>
          <w:rFonts w:asciiTheme="minorHAnsi" w:hAnsiTheme="minorHAnsi" w:cstheme="minorHAnsi"/>
          <w:bCs/>
        </w:rPr>
      </w:pPr>
    </w:p>
    <w:p w:rsidR="006231D7" w:rsidRPr="001E1630" w:rsidRDefault="006231D7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 xml:space="preserve">Dječji vrtić Sisak Stari </w:t>
      </w:r>
      <w:r w:rsidR="008623BA" w:rsidRPr="001E1630">
        <w:rPr>
          <w:rFonts w:asciiTheme="minorHAnsi" w:hAnsiTheme="minorHAnsi" w:cstheme="minorHAnsi"/>
          <w:bCs/>
        </w:rPr>
        <w:t>osnovan je 22. srpnja 1992.</w:t>
      </w:r>
      <w:r w:rsidR="00D70C6F" w:rsidRPr="001E1630">
        <w:rPr>
          <w:rFonts w:asciiTheme="minorHAnsi" w:hAnsiTheme="minorHAnsi" w:cstheme="minorHAnsi"/>
          <w:bCs/>
        </w:rPr>
        <w:t>, a pravni sljednik je Dječjeg vrtića „Nada Dimić“ osnovanog 1947. godine.</w:t>
      </w:r>
    </w:p>
    <w:p w:rsidR="001E1630" w:rsidRPr="001E1630" w:rsidRDefault="001E1630" w:rsidP="001B7C3C">
      <w:pPr>
        <w:spacing w:line="276" w:lineRule="auto"/>
        <w:jc w:val="both"/>
        <w:rPr>
          <w:rFonts w:asciiTheme="minorHAnsi" w:hAnsiTheme="minorHAnsi" w:cstheme="minorHAnsi"/>
          <w:color w:val="343434"/>
          <w:shd w:val="clear" w:color="auto" w:fill="EDF7F2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Popis zakonskih i podzakonskih akata: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Zakon o predškolskom odgoju i obrazovanju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Državni pedagoški standard predškolskog odgoja i obrazovanju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sadržaju i trajanju programa predškole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vrsti stručne spreme stručnih djelatnika te vrsti i stupnju stručne spreme ostalih djelatnika u dječjem vrtiću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načinu i uvjetima napredovanja u struci i promicanju u položajna zvanja odgojitelja i stručnih suradnika u dječjim vrtićima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načinu i uvjetima polaganja stručnog ispita odgojitelja i stručnih suradnika u dječjim vrtićima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radu Dječjeg vrtića Sisak Stari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Godišnji plan i program Dječjeg vrtića Sisak Stari</w:t>
      </w:r>
      <w:bookmarkStart w:id="0" w:name="_GoBack"/>
      <w:bookmarkEnd w:id="0"/>
    </w:p>
    <w:p w:rsidR="00D70C6F" w:rsidRDefault="00D70C6F" w:rsidP="001B7C3C">
      <w:pPr>
        <w:spacing w:line="276" w:lineRule="auto"/>
        <w:jc w:val="both"/>
        <w:rPr>
          <w:rFonts w:asciiTheme="minorHAnsi" w:hAnsiTheme="minorHAnsi" w:cstheme="minorHAnsi"/>
        </w:rPr>
      </w:pPr>
      <w:r w:rsidRPr="001E1630">
        <w:rPr>
          <w:rFonts w:asciiTheme="minorHAnsi" w:hAnsiTheme="minorHAnsi" w:cstheme="minorHAnsi"/>
        </w:rPr>
        <w:t>Program za cjeloživotno učenje uspostavljen je odlukom Europskog parlamenta i Vijeća EU (br.1720/2006/EC) 2006. godine</w:t>
      </w: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Vrtić obavlja svoju djelatnost u šest objekata smještenih na šest lokacija, obuhvaća 698 djece u redovitom programu, raspoređenih u 33 odgojne skupine.</w:t>
      </w: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Redoviti programi: 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Redovni 7-10-satni program za djecu od navršene prve godine života do polaska u školu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Redovni 4-6-satni program za djecu od navršene prve godine života do polaska u školu</w:t>
      </w:r>
    </w:p>
    <w:p w:rsidR="00B748EA" w:rsidRDefault="00B748EA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programi za djecu od 4 do 7 godina: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Dječji zbor Tičeki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Engleski jezik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 kinezioloških aktivnosti</w:t>
      </w:r>
    </w:p>
    <w:p w:rsidR="00B748EA" w:rsidRP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 tradicionalnih plesova i igara</w:t>
      </w:r>
    </w:p>
    <w:p w:rsidR="00357202" w:rsidRDefault="00357202" w:rsidP="001B7C3C">
      <w:pPr>
        <w:spacing w:line="276" w:lineRule="auto"/>
        <w:jc w:val="both"/>
        <w:rPr>
          <w:rFonts w:asciiTheme="minorHAnsi" w:hAnsiTheme="minorHAnsi" w:cstheme="minorHAnsi"/>
        </w:rPr>
      </w:pPr>
    </w:p>
    <w:p w:rsidR="007E0BCB" w:rsidRDefault="00B748EA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Bitni događaji koji su obilježili poslovanje u 2022.</w:t>
      </w:r>
      <w:r w:rsidR="007E0BCB">
        <w:rPr>
          <w:rFonts w:asciiTheme="minorHAnsi" w:hAnsiTheme="minorHAnsi" w:cstheme="minorHAnsi"/>
        </w:rPr>
        <w:t>:</w:t>
      </w:r>
    </w:p>
    <w:p w:rsidR="006231D7" w:rsidRPr="007E0BCB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 w:rsidRPr="007E0BCB">
        <w:rPr>
          <w:rFonts w:asciiTheme="minorHAnsi" w:hAnsiTheme="minorHAnsi" w:cstheme="minorHAnsi"/>
        </w:rPr>
        <w:t xml:space="preserve">otvaranje </w:t>
      </w:r>
      <w:r w:rsidR="007E0BCB" w:rsidRPr="007E0BCB">
        <w:rPr>
          <w:rFonts w:asciiTheme="minorHAnsi" w:hAnsiTheme="minorHAnsi" w:cstheme="minorHAnsi"/>
        </w:rPr>
        <w:t>dvije odgojne skupine</w:t>
      </w:r>
    </w:p>
    <w:p w:rsidR="007E0BCB" w:rsidRPr="007E0BCB" w:rsidRDefault="007E0BCB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</w:rPr>
        <w:t>početak poslijepodnevnog rada vrtića u sklopu projekta „Vrtić po mjeri obitelji“</w:t>
      </w:r>
    </w:p>
    <w:p w:rsidR="007E0BCB" w:rsidRPr="007E0BCB" w:rsidRDefault="007E0BCB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</w:rPr>
        <w:t xml:space="preserve">provedba projekta „Nadogradnja vrtićkih jedinica i energetska obnova objekta Različak“ </w:t>
      </w:r>
    </w:p>
    <w:p w:rsidR="007E0BCB" w:rsidRDefault="007E0BCB" w:rsidP="001B7C3C">
      <w:pPr>
        <w:spacing w:line="276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7E0BCB" w:rsidRPr="009823EC" w:rsidRDefault="007E0BCB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823EC">
        <w:rPr>
          <w:rFonts w:asciiTheme="minorHAnsi" w:hAnsiTheme="minorHAnsi" w:cstheme="minorHAnsi"/>
          <w:bCs/>
        </w:rPr>
        <w:t xml:space="preserve">Odgovorna osoba/ravnateljica: </w:t>
      </w:r>
      <w:r w:rsidRPr="009823EC">
        <w:rPr>
          <w:rFonts w:asciiTheme="minorHAnsi" w:hAnsiTheme="minorHAnsi" w:cstheme="minorHAnsi"/>
        </w:rPr>
        <w:t>doc.dr.sc.</w:t>
      </w:r>
      <w:r w:rsidRPr="009823EC">
        <w:rPr>
          <w:rFonts w:asciiTheme="minorHAnsi" w:hAnsiTheme="minorHAnsi" w:cstheme="minorHAnsi"/>
          <w:bCs/>
        </w:rPr>
        <w:t>Tihana Kokanović</w:t>
      </w:r>
    </w:p>
    <w:p w:rsidR="007E0BCB" w:rsidRPr="009823EC" w:rsidRDefault="009823EC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823EC">
        <w:rPr>
          <w:rFonts w:asciiTheme="minorHAnsi" w:hAnsiTheme="minorHAnsi" w:cstheme="minorHAnsi"/>
          <w:bCs/>
        </w:rPr>
        <w:t>Voditeljica računovodstva: Ivana Livaja, bacc.oec.</w:t>
      </w:r>
    </w:p>
    <w:p w:rsidR="007E0BCB" w:rsidRDefault="007E0BCB" w:rsidP="007E0BCB">
      <w:pPr>
        <w:rPr>
          <w:rFonts w:ascii="Calibri" w:hAnsi="Calibri" w:cs="Calibri"/>
          <w:bCs/>
          <w:sz w:val="28"/>
          <w:szCs w:val="28"/>
        </w:rPr>
      </w:pPr>
    </w:p>
    <w:p w:rsidR="00B73C7E" w:rsidRDefault="005D21D9" w:rsidP="00B73C7E">
      <w:pPr>
        <w:jc w:val="center"/>
        <w:rPr>
          <w:rFonts w:ascii="Calibri" w:hAnsi="Calibri" w:cs="Calibri"/>
          <w:b/>
          <w:bCs/>
        </w:rPr>
      </w:pPr>
      <w:r w:rsidRPr="002F3106">
        <w:rPr>
          <w:rFonts w:ascii="Calibri" w:hAnsi="Calibri" w:cs="Calibri"/>
          <w:b/>
          <w:bCs/>
        </w:rPr>
        <w:t>Bilješke uz</w:t>
      </w:r>
      <w:r w:rsidR="007A6648" w:rsidRPr="002F3106">
        <w:rPr>
          <w:rFonts w:ascii="Calibri" w:hAnsi="Calibri" w:cs="Calibri"/>
          <w:b/>
          <w:bCs/>
        </w:rPr>
        <w:t xml:space="preserve"> </w:t>
      </w:r>
      <w:r w:rsidRPr="002F3106">
        <w:rPr>
          <w:rFonts w:ascii="Calibri" w:hAnsi="Calibri" w:cs="Calibri"/>
          <w:b/>
          <w:bCs/>
        </w:rPr>
        <w:t>Izvještaj o prihodima i rashodima, primicima i izdacima</w:t>
      </w:r>
    </w:p>
    <w:p w:rsidR="005D21D9" w:rsidRDefault="005D21D9" w:rsidP="00B73C7E">
      <w:pPr>
        <w:jc w:val="center"/>
        <w:rPr>
          <w:rFonts w:ascii="Calibri" w:hAnsi="Calibri" w:cs="Calibri"/>
          <w:b/>
          <w:bCs/>
        </w:rPr>
      </w:pPr>
      <w:r w:rsidRPr="002F3106">
        <w:rPr>
          <w:rFonts w:ascii="Calibri" w:hAnsi="Calibri" w:cs="Calibri"/>
          <w:b/>
          <w:bCs/>
        </w:rPr>
        <w:t>PR-RAS</w:t>
      </w:r>
    </w:p>
    <w:p w:rsidR="00B73C7E" w:rsidRDefault="00B73C7E" w:rsidP="007E0BCB">
      <w:pPr>
        <w:rPr>
          <w:rFonts w:ascii="Calibri" w:hAnsi="Calibri" w:cs="Calibri"/>
          <w:b/>
          <w:bCs/>
        </w:rPr>
      </w:pPr>
    </w:p>
    <w:p w:rsidR="00E67457" w:rsidRDefault="00B73C7E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– Prihodi poslovanja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B640D8" w:rsidRPr="00761F37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61F37">
        <w:rPr>
          <w:rFonts w:asciiTheme="minorHAnsi" w:hAnsiTheme="minorHAnsi" w:cstheme="minorHAnsi"/>
          <w:b/>
          <w:iCs/>
          <w:color w:val="000000" w:themeColor="text1"/>
        </w:rPr>
        <w:t xml:space="preserve">6361 </w:t>
      </w:r>
      <w:r w:rsidR="00761F37" w:rsidRPr="00761F37">
        <w:rPr>
          <w:rFonts w:asciiTheme="minorHAnsi" w:hAnsiTheme="minorHAnsi" w:cstheme="minorHAnsi"/>
          <w:b/>
          <w:iCs/>
          <w:color w:val="000000" w:themeColor="text1"/>
        </w:rPr>
        <w:t>–</w:t>
      </w:r>
      <w:r w:rsidRPr="00761F37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</w:rPr>
        <w:t>Prihodi iz državnog proračuna u 2021. godini iznosili su 376.060 k</w:t>
      </w:r>
      <w:r w:rsidR="00AB4275">
        <w:rPr>
          <w:rFonts w:asciiTheme="minorHAnsi" w:hAnsiTheme="minorHAnsi" w:cstheme="minorHAnsi"/>
        </w:rPr>
        <w:t>u</w:t>
      </w:r>
      <w:r w:rsidR="00761F37" w:rsidRPr="00761F37">
        <w:rPr>
          <w:rFonts w:asciiTheme="minorHAnsi" w:hAnsiTheme="minorHAnsi" w:cstheme="minorHAnsi"/>
        </w:rPr>
        <w:t>n</w:t>
      </w:r>
      <w:r w:rsidR="00AB4275">
        <w:rPr>
          <w:rFonts w:asciiTheme="minorHAnsi" w:hAnsiTheme="minorHAnsi" w:cstheme="minorHAnsi"/>
        </w:rPr>
        <w:t>a</w:t>
      </w:r>
      <w:r w:rsidR="00761F37" w:rsidRPr="00761F37">
        <w:rPr>
          <w:rFonts w:asciiTheme="minorHAnsi" w:hAnsiTheme="minorHAnsi" w:cstheme="minorHAnsi"/>
        </w:rPr>
        <w:t>, a u 2022.godini  222.500 k</w:t>
      </w:r>
      <w:r w:rsidR="00AB4275">
        <w:rPr>
          <w:rFonts w:asciiTheme="minorHAnsi" w:hAnsiTheme="minorHAnsi" w:cstheme="minorHAnsi"/>
        </w:rPr>
        <w:t>u</w:t>
      </w:r>
      <w:r w:rsidR="00761F37" w:rsidRPr="00761F37">
        <w:rPr>
          <w:rFonts w:asciiTheme="minorHAnsi" w:hAnsiTheme="minorHAnsi" w:cstheme="minorHAnsi"/>
        </w:rPr>
        <w:t>n</w:t>
      </w:r>
      <w:r w:rsidR="00AB4275">
        <w:rPr>
          <w:rFonts w:asciiTheme="minorHAnsi" w:hAnsiTheme="minorHAnsi" w:cstheme="minorHAnsi"/>
        </w:rPr>
        <w:t>a</w:t>
      </w:r>
      <w:r w:rsidR="00761F37" w:rsidRPr="00761F37">
        <w:rPr>
          <w:rFonts w:asciiTheme="minorHAnsi" w:hAnsiTheme="minorHAnsi" w:cstheme="minorHAnsi"/>
        </w:rPr>
        <w:t xml:space="preserve">, što čini smanjenje </w:t>
      </w:r>
      <w:r w:rsidR="00454E6E">
        <w:rPr>
          <w:rFonts w:asciiTheme="minorHAnsi" w:hAnsiTheme="minorHAnsi" w:cstheme="minorHAnsi"/>
        </w:rPr>
        <w:t>4</w:t>
      </w:r>
      <w:r w:rsidR="00761F37" w:rsidRPr="00761F37">
        <w:rPr>
          <w:rFonts w:asciiTheme="minorHAnsi" w:hAnsiTheme="minorHAnsi" w:cstheme="minorHAnsi"/>
        </w:rPr>
        <w:t xml:space="preserve">0 %. </w:t>
      </w:r>
      <w:r w:rsidRPr="00761F37">
        <w:rPr>
          <w:rFonts w:asciiTheme="minorHAnsi" w:hAnsiTheme="minorHAnsi" w:cstheme="minorHAnsi"/>
          <w:iCs/>
          <w:color w:val="000000" w:themeColor="text1"/>
        </w:rPr>
        <w:t xml:space="preserve">Dječji vrtić Sisak Stari u 2021. godini ostvario je više prihoda iz državnog proračuna radi </w:t>
      </w:r>
      <w:r w:rsidRPr="00761F37">
        <w:rPr>
          <w:rFonts w:asciiTheme="minorHAnsi" w:hAnsiTheme="minorHAnsi" w:cstheme="minorHAnsi"/>
          <w:color w:val="000000" w:themeColor="text1"/>
        </w:rPr>
        <w:t>dodjele novčane pomoći poslodavcima koji zapošljavaju osobe s invaliditetom na području pogođenom potresom od Zavoda za vještačenje, profesionalnu rehabilitaciju i zapošljavanje osoba s invaliditetom. Pomoć je dodijeljena isključivo u svrhu podmirenja neizravnih troškova poslovanja u 2021. godini radi dovođenja poslovanja/ obavljanja djelatnosti na razinu poslovanja/obavljanja djelatnosti prije štete nastale potresom (režijski troškovi)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40D8">
        <w:rPr>
          <w:rFonts w:asciiTheme="minorHAnsi" w:hAnsiTheme="minorHAnsi" w:cstheme="minorHAnsi"/>
          <w:b/>
          <w:color w:val="000000" w:themeColor="text1"/>
        </w:rPr>
        <w:t xml:space="preserve">6526 </w:t>
      </w:r>
      <w:r w:rsidR="00761F37">
        <w:rPr>
          <w:rFonts w:asciiTheme="minorHAnsi" w:hAnsiTheme="minorHAnsi" w:cstheme="minorHAnsi"/>
          <w:b/>
          <w:color w:val="000000" w:themeColor="text1"/>
        </w:rPr>
        <w:t>–</w:t>
      </w:r>
      <w:r w:rsidRPr="00B640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Prihodi od uplata roditelja u 2021. godini iznosili su 4.043.504</w:t>
      </w:r>
      <w:r w:rsidR="00AB4275">
        <w:rPr>
          <w:rFonts w:asciiTheme="minorHAnsi" w:hAnsiTheme="minorHAnsi" w:cstheme="minorHAnsi"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k</w:t>
      </w:r>
      <w:r w:rsidR="00AB4275">
        <w:rPr>
          <w:rFonts w:asciiTheme="minorHAnsi" w:hAnsiTheme="minorHAnsi" w:cstheme="minorHAnsi"/>
          <w:color w:val="000000" w:themeColor="text1"/>
        </w:rPr>
        <w:t>u</w:t>
      </w:r>
      <w:r w:rsidR="00761F37" w:rsidRPr="00761F37">
        <w:rPr>
          <w:rFonts w:asciiTheme="minorHAnsi" w:hAnsiTheme="minorHAnsi" w:cstheme="minorHAnsi"/>
          <w:color w:val="000000" w:themeColor="text1"/>
        </w:rPr>
        <w:t>n</w:t>
      </w:r>
      <w:r w:rsidR="00AB4275">
        <w:rPr>
          <w:rFonts w:asciiTheme="minorHAnsi" w:hAnsiTheme="minorHAnsi" w:cstheme="minorHAnsi"/>
          <w:color w:val="000000" w:themeColor="text1"/>
        </w:rPr>
        <w:t>a</w:t>
      </w:r>
      <w:r w:rsidR="00761F37" w:rsidRPr="00761F37">
        <w:rPr>
          <w:rFonts w:asciiTheme="minorHAnsi" w:hAnsiTheme="minorHAnsi" w:cstheme="minorHAnsi"/>
          <w:color w:val="000000" w:themeColor="text1"/>
        </w:rPr>
        <w:t>,</w:t>
      </w:r>
      <w:r w:rsidR="00761F37">
        <w:rPr>
          <w:rFonts w:asciiTheme="minorHAnsi" w:hAnsiTheme="minorHAnsi" w:cstheme="minorHAnsi"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u 2022. godini iznose 4.126.789,81</w:t>
      </w:r>
      <w:r w:rsidR="00AB4275">
        <w:rPr>
          <w:rFonts w:asciiTheme="minorHAnsi" w:hAnsiTheme="minorHAnsi" w:cstheme="minorHAnsi"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k</w:t>
      </w:r>
      <w:r w:rsidR="00AB4275">
        <w:rPr>
          <w:rFonts w:asciiTheme="minorHAnsi" w:hAnsiTheme="minorHAnsi" w:cstheme="minorHAnsi"/>
          <w:color w:val="000000" w:themeColor="text1"/>
        </w:rPr>
        <w:t>u</w:t>
      </w:r>
      <w:r w:rsidR="00761F37" w:rsidRPr="00761F37">
        <w:rPr>
          <w:rFonts w:asciiTheme="minorHAnsi" w:hAnsiTheme="minorHAnsi" w:cstheme="minorHAnsi"/>
          <w:color w:val="000000" w:themeColor="text1"/>
        </w:rPr>
        <w:t>n</w:t>
      </w:r>
      <w:r w:rsidR="00AB4275">
        <w:rPr>
          <w:rFonts w:asciiTheme="minorHAnsi" w:hAnsiTheme="minorHAnsi" w:cstheme="minorHAnsi"/>
          <w:color w:val="000000" w:themeColor="text1"/>
        </w:rPr>
        <w:t>a</w:t>
      </w:r>
      <w:r w:rsidR="00761F37" w:rsidRPr="00761F37">
        <w:rPr>
          <w:rFonts w:asciiTheme="minorHAnsi" w:hAnsiTheme="minorHAnsi" w:cstheme="minorHAnsi"/>
          <w:color w:val="000000" w:themeColor="text1"/>
        </w:rPr>
        <w:t xml:space="preserve"> št</w:t>
      </w:r>
      <w:r w:rsidR="00761F37">
        <w:rPr>
          <w:rFonts w:asciiTheme="minorHAnsi" w:hAnsiTheme="minorHAnsi" w:cstheme="minorHAnsi"/>
          <w:color w:val="000000" w:themeColor="text1"/>
        </w:rPr>
        <w:t xml:space="preserve">o je povećanje od 2%, a </w:t>
      </w:r>
      <w:r w:rsidR="00761F37" w:rsidRPr="00761F37">
        <w:rPr>
          <w:rFonts w:asciiTheme="minorHAnsi" w:hAnsiTheme="minorHAnsi" w:cstheme="minorHAnsi"/>
          <w:color w:val="000000" w:themeColor="text1"/>
        </w:rPr>
        <w:t>ostvareno je radi</w:t>
      </w:r>
      <w:r w:rsidRPr="00761F37">
        <w:rPr>
          <w:rFonts w:asciiTheme="minorHAnsi" w:hAnsiTheme="minorHAnsi" w:cstheme="minorHAnsi"/>
          <w:color w:val="000000" w:themeColor="text1"/>
        </w:rPr>
        <w:t xml:space="preserve"> o</w:t>
      </w:r>
      <w:r w:rsidRPr="00B640D8">
        <w:rPr>
          <w:rFonts w:asciiTheme="minorHAnsi" w:hAnsiTheme="minorHAnsi" w:cstheme="minorHAnsi"/>
          <w:color w:val="000000" w:themeColor="text1"/>
        </w:rPr>
        <w:t>tvaranja novih odgojnih skupina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B640D8">
        <w:rPr>
          <w:rFonts w:asciiTheme="minorHAnsi" w:hAnsiTheme="minorHAnsi" w:cstheme="minorHAnsi"/>
          <w:b/>
          <w:color w:val="000000" w:themeColor="text1"/>
        </w:rPr>
        <w:t xml:space="preserve">6631 - </w:t>
      </w:r>
      <w:r w:rsidRPr="00B640D8">
        <w:rPr>
          <w:rFonts w:asciiTheme="minorHAnsi" w:hAnsiTheme="minorHAnsi" w:cstheme="minorHAnsi"/>
          <w:color w:val="000000" w:themeColor="text1"/>
        </w:rPr>
        <w:t>U 2021.godini, vrtić je ostvario prihod</w:t>
      </w:r>
      <w:r w:rsidR="00454E6E">
        <w:rPr>
          <w:rFonts w:asciiTheme="minorHAnsi" w:hAnsiTheme="minorHAnsi" w:cstheme="minorHAnsi"/>
          <w:color w:val="000000" w:themeColor="text1"/>
        </w:rPr>
        <w:t>e</w:t>
      </w:r>
      <w:r w:rsidRPr="00B640D8">
        <w:rPr>
          <w:rFonts w:asciiTheme="minorHAnsi" w:hAnsiTheme="minorHAnsi" w:cstheme="minorHAnsi"/>
          <w:color w:val="000000" w:themeColor="text1"/>
        </w:rPr>
        <w:t xml:space="preserve"> od </w:t>
      </w:r>
      <w:r w:rsidRPr="00B640D8">
        <w:rPr>
          <w:rFonts w:ascii="Calibri" w:hAnsi="Calibri" w:cs="Calibri"/>
          <w:iCs/>
          <w:color w:val="000000" w:themeColor="text1"/>
        </w:rPr>
        <w:t>donacija</w:t>
      </w:r>
      <w:r w:rsidR="00454E6E">
        <w:rPr>
          <w:rFonts w:ascii="Calibri" w:hAnsi="Calibri" w:cs="Calibri"/>
          <w:iCs/>
          <w:color w:val="000000" w:themeColor="text1"/>
        </w:rPr>
        <w:t xml:space="preserve"> u iznosu od 405.000</w:t>
      </w:r>
      <w:r w:rsidR="00AB4275">
        <w:rPr>
          <w:rFonts w:ascii="Calibri" w:hAnsi="Calibri" w:cs="Calibri"/>
          <w:iCs/>
          <w:color w:val="000000" w:themeColor="text1"/>
        </w:rPr>
        <w:t xml:space="preserve"> </w:t>
      </w:r>
      <w:r w:rsidR="00454E6E">
        <w:rPr>
          <w:rFonts w:ascii="Calibri" w:hAnsi="Calibri" w:cs="Calibri"/>
          <w:iCs/>
          <w:color w:val="000000" w:themeColor="text1"/>
        </w:rPr>
        <w:t>k</w:t>
      </w:r>
      <w:r w:rsidR="00AB4275">
        <w:rPr>
          <w:rFonts w:ascii="Calibri" w:hAnsi="Calibri" w:cs="Calibri"/>
          <w:iCs/>
          <w:color w:val="000000" w:themeColor="text1"/>
        </w:rPr>
        <w:t>u</w:t>
      </w:r>
      <w:r w:rsidR="00454E6E">
        <w:rPr>
          <w:rFonts w:ascii="Calibri" w:hAnsi="Calibri" w:cs="Calibri"/>
          <w:iCs/>
          <w:color w:val="000000" w:themeColor="text1"/>
        </w:rPr>
        <w:t>n</w:t>
      </w:r>
      <w:r w:rsidR="00AB4275">
        <w:rPr>
          <w:rFonts w:ascii="Calibri" w:hAnsi="Calibri" w:cs="Calibri"/>
          <w:iCs/>
          <w:color w:val="000000" w:themeColor="text1"/>
        </w:rPr>
        <w:t>a</w:t>
      </w:r>
      <w:r w:rsidRPr="00B640D8">
        <w:rPr>
          <w:rFonts w:ascii="Calibri" w:hAnsi="Calibri" w:cs="Calibri"/>
          <w:iCs/>
          <w:color w:val="000000" w:themeColor="text1"/>
        </w:rPr>
        <w:t xml:space="preserve"> </w:t>
      </w:r>
      <w:r w:rsidR="00454E6E">
        <w:rPr>
          <w:rFonts w:ascii="Calibri" w:hAnsi="Calibri" w:cs="Calibri"/>
          <w:iCs/>
          <w:color w:val="000000" w:themeColor="text1"/>
        </w:rPr>
        <w:t>od</w:t>
      </w:r>
      <w:r w:rsidRPr="00B640D8">
        <w:rPr>
          <w:rFonts w:ascii="Calibri" w:hAnsi="Calibri" w:cs="Calibri"/>
          <w:iCs/>
          <w:color w:val="000000" w:themeColor="text1"/>
        </w:rPr>
        <w:t xml:space="preserve"> RTL-a za nabavu logopedske opreme, te Hrvatskog crvenog križa u svrhu financiranja troškova nabave sredstava za rad s djecom u objektima oštećenim potresom, dok u 2022. godini nije dobivao donacije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40D8">
        <w:rPr>
          <w:rFonts w:ascii="Calibri" w:hAnsi="Calibri" w:cs="Calibri"/>
          <w:b/>
          <w:iCs/>
          <w:color w:val="000000" w:themeColor="text1"/>
        </w:rPr>
        <w:t xml:space="preserve">6711 </w:t>
      </w:r>
      <w:r w:rsidR="00454E6E">
        <w:rPr>
          <w:rFonts w:ascii="Calibri" w:hAnsi="Calibri" w:cs="Calibri"/>
          <w:b/>
          <w:iCs/>
          <w:color w:val="000000" w:themeColor="text1"/>
        </w:rPr>
        <w:t>–</w:t>
      </w:r>
      <w:r w:rsidRPr="00B640D8">
        <w:rPr>
          <w:rFonts w:ascii="Calibri" w:hAnsi="Calibri" w:cs="Calibri"/>
          <w:b/>
          <w:iCs/>
          <w:color w:val="000000" w:themeColor="text1"/>
        </w:rPr>
        <w:t xml:space="preserve"> </w:t>
      </w:r>
      <w:r w:rsidR="00454E6E" w:rsidRPr="00454E6E">
        <w:rPr>
          <w:rFonts w:ascii="Calibri" w:hAnsi="Calibri" w:cs="Calibri"/>
          <w:iCs/>
          <w:color w:val="000000" w:themeColor="text1"/>
        </w:rPr>
        <w:t>Vrtić je u 2021. godini ostvario prihode iz nadležnog proračuna u iznosu od 12.623.443 kuna, a u 2022. godini 15.691.354,97 kuna</w:t>
      </w:r>
      <w:r w:rsidR="00454E6E">
        <w:rPr>
          <w:rFonts w:ascii="Calibri" w:hAnsi="Calibri" w:cs="Calibri"/>
          <w:iCs/>
          <w:color w:val="000000" w:themeColor="text1"/>
        </w:rPr>
        <w:t xml:space="preserve"> što čini povećanje 24%.</w:t>
      </w:r>
      <w:r w:rsidR="00454E6E" w:rsidRPr="00454E6E">
        <w:rPr>
          <w:rFonts w:ascii="Calibri" w:hAnsi="Calibri" w:cs="Calibri"/>
          <w:iCs/>
          <w:color w:val="000000" w:themeColor="text1"/>
        </w:rPr>
        <w:t xml:space="preserve"> </w:t>
      </w:r>
      <w:r w:rsidRPr="00B640D8">
        <w:rPr>
          <w:rFonts w:ascii="Calibri" w:hAnsi="Calibri" w:cs="Calibri"/>
          <w:iCs/>
          <w:color w:val="000000" w:themeColor="text1"/>
        </w:rPr>
        <w:t>Rast prihoda iz nadležnog proračuna u 2022. godini ostvaren je radi rasta troškova redovnog poslovanja uslijed povećanja cijena hrane, režijskih troškova i ostalog materijala i usluga potrebnih za redovan rad vrtića.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3A4221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B73C7E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 – Rashodi poslovanja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B640D8" w:rsidRPr="000A1C6F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3111 </w:t>
      </w:r>
      <w:r w:rsidR="00454E6E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454E6E" w:rsidRPr="000A1C6F">
        <w:rPr>
          <w:rFonts w:ascii="Calibri" w:hAnsi="Calibri" w:cs="Calibri"/>
          <w:iCs/>
          <w:color w:val="000000" w:themeColor="text1"/>
        </w:rPr>
        <w:t>Rashodi za za plaće u 2021. godini iznosili su 11.477.671 kuna, dok u 2022. godini iznose 13.401.494,40 kuna.</w:t>
      </w:r>
      <w:r w:rsidR="00454E6E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Povećanje rashoda za zaposlene</w:t>
      </w:r>
      <w:r w:rsidR="00454E6E">
        <w:rPr>
          <w:rFonts w:ascii="Calibri" w:hAnsi="Calibri" w:cs="Calibri"/>
          <w:iCs/>
          <w:color w:val="000000" w:themeColor="text1"/>
        </w:rPr>
        <w:t xml:space="preserve"> za </w:t>
      </w:r>
      <w:r w:rsidR="000A1C6F">
        <w:rPr>
          <w:rFonts w:ascii="Calibri" w:hAnsi="Calibri" w:cs="Calibri"/>
          <w:iCs/>
          <w:color w:val="000000" w:themeColor="text1"/>
        </w:rPr>
        <w:t>16%</w:t>
      </w:r>
      <w:r w:rsidRPr="008C745B">
        <w:rPr>
          <w:rFonts w:ascii="Calibri" w:hAnsi="Calibri" w:cs="Calibri"/>
          <w:iCs/>
          <w:color w:val="000000" w:themeColor="text1"/>
        </w:rPr>
        <w:t xml:space="preserve"> odnosi se na povećanje broja zaposlenih zbog početka poslijepodnevnog rada vrtića, te otvaranja novih odgojnih skupina. Isti razlozi odnose se na povećanja na šiframa </w:t>
      </w:r>
      <w:r w:rsidRPr="008C745B">
        <w:rPr>
          <w:rFonts w:ascii="Calibri" w:hAnsi="Calibri" w:cs="Calibri"/>
          <w:b/>
          <w:iCs/>
          <w:color w:val="000000" w:themeColor="text1"/>
        </w:rPr>
        <w:t>312</w:t>
      </w:r>
      <w:r w:rsidR="000A1C6F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0A1C6F" w:rsidRPr="000A1C6F">
        <w:rPr>
          <w:rFonts w:ascii="Calibri" w:hAnsi="Calibri" w:cs="Calibri"/>
          <w:iCs/>
          <w:color w:val="000000" w:themeColor="text1"/>
        </w:rPr>
        <w:t>ostali rashodi za zaposlene gdje povećanje iznosi 9%</w:t>
      </w:r>
      <w:r w:rsidRPr="000A1C6F">
        <w:rPr>
          <w:rFonts w:ascii="Calibri" w:hAnsi="Calibri" w:cs="Calibri"/>
          <w:iCs/>
          <w:color w:val="000000" w:themeColor="text1"/>
        </w:rPr>
        <w:t>,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3132</w:t>
      </w:r>
      <w:r w:rsidR="000A1C6F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0A1C6F" w:rsidRPr="000A1C6F">
        <w:rPr>
          <w:rFonts w:ascii="Calibri" w:hAnsi="Calibri" w:cs="Calibri"/>
          <w:iCs/>
          <w:color w:val="000000" w:themeColor="text1"/>
        </w:rPr>
        <w:t>Doprinosi za obvezno zdravstveno osiguranje 17%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i 3212</w:t>
      </w:r>
      <w:r w:rsidR="000A1C6F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0A1C6F" w:rsidRPr="000A1C6F">
        <w:rPr>
          <w:rFonts w:ascii="Calibri" w:hAnsi="Calibri" w:cs="Calibri"/>
          <w:iCs/>
          <w:color w:val="000000" w:themeColor="text1"/>
        </w:rPr>
        <w:t>Naknade za prijevoz, za rad na terenu i odvojeni život</w:t>
      </w:r>
      <w:r w:rsidR="000A1C6F">
        <w:rPr>
          <w:rFonts w:ascii="Calibri" w:hAnsi="Calibri" w:cs="Calibri"/>
          <w:iCs/>
          <w:color w:val="000000" w:themeColor="text1"/>
        </w:rPr>
        <w:t xml:space="preserve"> povećanje iznosi 20%</w:t>
      </w:r>
    </w:p>
    <w:p w:rsidR="00B640D8" w:rsidRPr="0014515A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3211 </w:t>
      </w:r>
      <w:r w:rsidR="000A1C6F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Rashodi za službena putovanja u prethodnom razdoblju</w:t>
      </w:r>
      <w:r w:rsidR="000A1C6F">
        <w:rPr>
          <w:rFonts w:ascii="Calibri" w:hAnsi="Calibri" w:cs="Calibri"/>
          <w:iCs/>
          <w:color w:val="000000" w:themeColor="text1"/>
        </w:rPr>
        <w:t xml:space="preserve"> iznose 400 kuna radi </w:t>
      </w:r>
      <w:r w:rsidRPr="008C745B">
        <w:rPr>
          <w:rFonts w:ascii="Calibri" w:hAnsi="Calibri" w:cs="Calibri"/>
          <w:iCs/>
          <w:color w:val="000000" w:themeColor="text1"/>
        </w:rPr>
        <w:t>održavanja stručnih usavršavanja putem on-line forme – webinara, a sve radi epidemiološke situacije uzrokovane Covidom-19, dok se u 2022. godini veliko povećanje odnosi na provedbu projekta „Vrtić po mjeri Obitelji“ odnosno na putovanjima na stručna usavršavanja na Montessori pedagogiji i Reynel edukaciju</w:t>
      </w:r>
      <w:r w:rsidR="000A1C6F" w:rsidRPr="000A1C6F">
        <w:rPr>
          <w:rFonts w:ascii="Calibri" w:hAnsi="Calibri" w:cs="Calibri"/>
          <w:iCs/>
          <w:color w:val="000000" w:themeColor="text1"/>
        </w:rPr>
        <w:t xml:space="preserve"> </w:t>
      </w:r>
      <w:r w:rsidR="000A1C6F">
        <w:rPr>
          <w:rFonts w:ascii="Calibri" w:hAnsi="Calibri" w:cs="Calibri"/>
          <w:iCs/>
          <w:color w:val="000000" w:themeColor="text1"/>
        </w:rPr>
        <w:t>i iznose 14.392,00</w:t>
      </w:r>
      <w:r w:rsidR="00AB4275">
        <w:rPr>
          <w:rFonts w:ascii="Calibri" w:hAnsi="Calibri" w:cs="Calibri"/>
          <w:iCs/>
          <w:color w:val="000000" w:themeColor="text1"/>
        </w:rPr>
        <w:t xml:space="preserve"> kuna</w:t>
      </w:r>
      <w:r w:rsidR="000A1C6F" w:rsidRPr="008C745B">
        <w:rPr>
          <w:rFonts w:ascii="Calibri" w:hAnsi="Calibri" w:cs="Calibri"/>
          <w:iCs/>
          <w:color w:val="000000" w:themeColor="text1"/>
        </w:rPr>
        <w:t xml:space="preserve"> </w:t>
      </w:r>
      <w:r w:rsidR="000A1C6F">
        <w:rPr>
          <w:rFonts w:ascii="Calibri" w:hAnsi="Calibri" w:cs="Calibri"/>
          <w:iCs/>
          <w:color w:val="000000" w:themeColor="text1"/>
        </w:rPr>
        <w:t xml:space="preserve">što čini povećanje od 3.598% </w:t>
      </w:r>
      <w:r w:rsidR="000A1C6F" w:rsidRPr="008C745B">
        <w:rPr>
          <w:rFonts w:ascii="Calibri" w:hAnsi="Calibri" w:cs="Calibri"/>
          <w:iCs/>
          <w:color w:val="000000" w:themeColor="text1"/>
        </w:rPr>
        <w:t>radi</w:t>
      </w:r>
      <w:r w:rsidRPr="008C745B">
        <w:rPr>
          <w:rFonts w:ascii="Calibri" w:hAnsi="Calibri" w:cs="Calibri"/>
          <w:iCs/>
          <w:color w:val="000000" w:themeColor="text1"/>
        </w:rPr>
        <w:t xml:space="preserve">. Navedene edukacije razlog su povećanja i šifre </w:t>
      </w:r>
      <w:r w:rsidRPr="008C745B">
        <w:rPr>
          <w:rFonts w:ascii="Calibri" w:hAnsi="Calibri" w:cs="Calibri"/>
          <w:b/>
          <w:iCs/>
          <w:color w:val="000000" w:themeColor="text1"/>
        </w:rPr>
        <w:t>3213</w:t>
      </w:r>
      <w:r w:rsidR="000A1C6F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0A1C6F" w:rsidRPr="0014515A">
        <w:rPr>
          <w:rFonts w:ascii="Calibri" w:hAnsi="Calibri" w:cs="Calibri"/>
          <w:iCs/>
          <w:color w:val="000000" w:themeColor="text1"/>
        </w:rPr>
        <w:t xml:space="preserve">stručno usavršavanje zaposlenika koje zabilježava rast od 237%. U 2021. godini rashodi za stručno usavršavanje zaposlenika iznosili su </w:t>
      </w:r>
      <w:r w:rsidR="0014515A" w:rsidRPr="0014515A">
        <w:rPr>
          <w:rFonts w:ascii="Calibri" w:hAnsi="Calibri" w:cs="Calibri"/>
          <w:iCs/>
          <w:color w:val="000000" w:themeColor="text1"/>
        </w:rPr>
        <w:t>45.282 kuna, a u 2022. godini iznose 107.503,47 kuna.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lastRenderedPageBreak/>
        <w:t xml:space="preserve">3214 </w:t>
      </w:r>
      <w:r w:rsidR="0014515A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14515A" w:rsidRPr="0014515A">
        <w:rPr>
          <w:rFonts w:ascii="Calibri" w:hAnsi="Calibri" w:cs="Calibri"/>
          <w:iCs/>
          <w:color w:val="000000" w:themeColor="text1"/>
        </w:rPr>
        <w:t>Rashoda za ostale naknade troškova zaposlenima nije bilo u 2021. godini dok u 2022. godini iznose 254,00 kune.</w:t>
      </w:r>
      <w:r w:rsidR="0014515A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Realizacija rashoda za ostale naknade zaposlenima, isto tako su nastala u sklopu provedbe projekta „Vrtić po mjeri obitelji“ i odnose se na troškove kod sudjelovanja na edukacijama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3222 - </w:t>
      </w:r>
      <w:r w:rsidRPr="008C745B">
        <w:rPr>
          <w:rFonts w:ascii="Calibri" w:hAnsi="Calibri" w:cs="Calibri"/>
          <w:iCs/>
          <w:color w:val="000000" w:themeColor="text1"/>
        </w:rPr>
        <w:t>Rashod za troškove prehrane</w:t>
      </w:r>
      <w:r w:rsidR="0014515A">
        <w:rPr>
          <w:rFonts w:ascii="Calibri" w:hAnsi="Calibri" w:cs="Calibri"/>
          <w:iCs/>
          <w:color w:val="000000" w:themeColor="text1"/>
        </w:rPr>
        <w:t xml:space="preserve"> u 2021. godini iznosio je 978.718 kuna, a u 2022. godini iznosi 1.173.538,90 kuna. Rashod je</w:t>
      </w:r>
      <w:r w:rsidRPr="008C745B">
        <w:rPr>
          <w:rFonts w:ascii="Calibri" w:hAnsi="Calibri" w:cs="Calibri"/>
          <w:iCs/>
          <w:color w:val="000000" w:themeColor="text1"/>
        </w:rPr>
        <w:t xml:space="preserve"> povećan </w:t>
      </w:r>
      <w:r w:rsidR="0014515A">
        <w:rPr>
          <w:rFonts w:ascii="Calibri" w:hAnsi="Calibri" w:cs="Calibri"/>
          <w:iCs/>
          <w:color w:val="000000" w:themeColor="text1"/>
        </w:rPr>
        <w:t>za 20%</w:t>
      </w:r>
      <w:r w:rsidRPr="008C745B">
        <w:rPr>
          <w:rFonts w:ascii="Calibri" w:hAnsi="Calibri" w:cs="Calibri"/>
          <w:iCs/>
          <w:color w:val="000000" w:themeColor="text1"/>
        </w:rPr>
        <w:t xml:space="preserve"> u odnosu na prethodno razdoblje radi povećanja cijena hrane.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b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3225 - </w:t>
      </w:r>
      <w:r w:rsidRPr="008C745B">
        <w:rPr>
          <w:rFonts w:ascii="Calibri" w:hAnsi="Calibri" w:cs="Calibri"/>
          <w:iCs/>
          <w:color w:val="000000" w:themeColor="text1"/>
        </w:rPr>
        <w:t>Rashodi za nabavu sitnog inventara</w:t>
      </w:r>
      <w:r w:rsidR="0014515A">
        <w:rPr>
          <w:rFonts w:ascii="Calibri" w:hAnsi="Calibri" w:cs="Calibri"/>
          <w:iCs/>
          <w:color w:val="000000" w:themeColor="text1"/>
        </w:rPr>
        <w:t xml:space="preserve"> u prethodnom razdoblju iznosili su 21.767 kuna, a u 2022. godini iznose 65.444,16 kuna što čini povećanje od </w:t>
      </w:r>
      <w:r w:rsidR="00C73C5E">
        <w:rPr>
          <w:rFonts w:ascii="Calibri" w:hAnsi="Calibri" w:cs="Calibri"/>
          <w:iCs/>
          <w:color w:val="000000" w:themeColor="text1"/>
        </w:rPr>
        <w:t>2</w:t>
      </w:r>
      <w:r w:rsidR="0014515A">
        <w:rPr>
          <w:rFonts w:ascii="Calibri" w:hAnsi="Calibri" w:cs="Calibri"/>
          <w:iCs/>
          <w:color w:val="000000" w:themeColor="text1"/>
        </w:rPr>
        <w:t>00%</w:t>
      </w:r>
      <w:r w:rsidRPr="008C745B">
        <w:rPr>
          <w:rFonts w:ascii="Calibri" w:hAnsi="Calibri" w:cs="Calibri"/>
          <w:iCs/>
          <w:color w:val="000000" w:themeColor="text1"/>
        </w:rPr>
        <w:t xml:space="preserve"> radi opremanja novih odgojnih skupina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3227 </w:t>
      </w:r>
      <w:r w:rsidR="0014515A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14515A" w:rsidRPr="0014515A">
        <w:rPr>
          <w:rFonts w:ascii="Calibri" w:hAnsi="Calibri" w:cs="Calibri"/>
          <w:iCs/>
          <w:color w:val="000000" w:themeColor="text1"/>
        </w:rPr>
        <w:t>Rashodi za službenu radnu odjeću i obuću 2021. godine iznose 53.434 kune, a 2022. godine 14.943,03 kuna što je smanjenje od 70%.</w:t>
      </w:r>
      <w:r w:rsidR="0014515A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Službena radna odjeća i obuća nabavlja se periodično, prema propisima zaštite na radu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3231 </w:t>
      </w:r>
      <w:r w:rsidR="0014515A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Povećanje broja odgojnih skupina i broja djece, utječe i na rashode kao što je prijevoz djece u škole plivanja i klizanja</w:t>
      </w:r>
      <w:r w:rsidR="0014515A">
        <w:rPr>
          <w:rFonts w:ascii="Calibri" w:hAnsi="Calibri" w:cs="Calibri"/>
          <w:iCs/>
          <w:color w:val="000000" w:themeColor="text1"/>
        </w:rPr>
        <w:t xml:space="preserve"> tako se rashod za usluge telefona pošte i prijevoza povećao za 44%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bCs/>
          <w:color w:val="000000" w:themeColor="text1"/>
        </w:rPr>
        <w:t xml:space="preserve">3232 </w:t>
      </w:r>
      <w:r w:rsidR="0014515A">
        <w:rPr>
          <w:rFonts w:ascii="Calibri" w:hAnsi="Calibri" w:cs="Calibri"/>
          <w:b/>
          <w:bCs/>
          <w:color w:val="000000" w:themeColor="text1"/>
        </w:rPr>
        <w:t>–</w:t>
      </w:r>
      <w:r w:rsidRPr="008C745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4515A" w:rsidRPr="00390354">
        <w:rPr>
          <w:rFonts w:ascii="Calibri" w:hAnsi="Calibri" w:cs="Calibri"/>
          <w:bCs/>
          <w:color w:val="000000" w:themeColor="text1"/>
        </w:rPr>
        <w:t xml:space="preserve">Rashodi za usluge održavanja u 2021. godini iznosili su 213.573 kuna, dok su 2022. godini iznosili </w:t>
      </w:r>
      <w:r w:rsidR="00390354" w:rsidRPr="00390354">
        <w:rPr>
          <w:rFonts w:ascii="Calibri" w:hAnsi="Calibri" w:cs="Calibri"/>
          <w:bCs/>
          <w:color w:val="000000" w:themeColor="text1"/>
        </w:rPr>
        <w:t>184.767,37 kuna.</w:t>
      </w:r>
      <w:r w:rsidR="00390354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 xml:space="preserve">2021. godine rashodi za usluge održavanja bili su uvećani </w:t>
      </w:r>
      <w:r w:rsidR="00390354">
        <w:rPr>
          <w:rFonts w:ascii="Calibri" w:hAnsi="Calibri" w:cs="Calibri"/>
          <w:iCs/>
          <w:color w:val="000000" w:themeColor="text1"/>
        </w:rPr>
        <w:t xml:space="preserve">15% </w:t>
      </w:r>
      <w:r w:rsidRPr="008C745B">
        <w:rPr>
          <w:rFonts w:ascii="Calibri" w:hAnsi="Calibri" w:cs="Calibri"/>
          <w:iCs/>
          <w:color w:val="000000" w:themeColor="text1"/>
        </w:rPr>
        <w:t>radi sanacija šteta nakon potresa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3233 - </w:t>
      </w:r>
      <w:r w:rsidRPr="008C745B">
        <w:rPr>
          <w:rFonts w:ascii="Calibri" w:hAnsi="Calibri" w:cs="Calibri"/>
          <w:iCs/>
          <w:color w:val="000000" w:themeColor="text1"/>
        </w:rPr>
        <w:t>Usluge promidžbe i informiranja</w:t>
      </w:r>
      <w:r w:rsidR="00390354">
        <w:rPr>
          <w:rFonts w:ascii="Calibri" w:hAnsi="Calibri" w:cs="Calibri"/>
          <w:iCs/>
          <w:color w:val="000000" w:themeColor="text1"/>
        </w:rPr>
        <w:t xml:space="preserve"> iznose 52.530 kuna i</w:t>
      </w:r>
      <w:r w:rsidRPr="008C745B">
        <w:rPr>
          <w:rFonts w:ascii="Calibri" w:hAnsi="Calibri" w:cs="Calibri"/>
          <w:iCs/>
          <w:color w:val="000000" w:themeColor="text1"/>
        </w:rPr>
        <w:t xml:space="preserve"> uvećani su</w:t>
      </w:r>
      <w:r w:rsidR="00390354">
        <w:rPr>
          <w:rFonts w:ascii="Calibri" w:hAnsi="Calibri" w:cs="Calibri"/>
          <w:iCs/>
          <w:color w:val="000000" w:themeColor="text1"/>
        </w:rPr>
        <w:t xml:space="preserve"> 2.</w:t>
      </w:r>
      <w:r w:rsidR="00C73C5E">
        <w:rPr>
          <w:rFonts w:ascii="Calibri" w:hAnsi="Calibri" w:cs="Calibri"/>
          <w:iCs/>
          <w:color w:val="000000" w:themeColor="text1"/>
        </w:rPr>
        <w:t>4</w:t>
      </w:r>
      <w:r w:rsidR="00390354">
        <w:rPr>
          <w:rFonts w:ascii="Calibri" w:hAnsi="Calibri" w:cs="Calibri"/>
          <w:iCs/>
          <w:color w:val="000000" w:themeColor="text1"/>
        </w:rPr>
        <w:t>89%</w:t>
      </w:r>
      <w:r w:rsidRPr="008C745B">
        <w:rPr>
          <w:rFonts w:ascii="Calibri" w:hAnsi="Calibri" w:cs="Calibri"/>
          <w:iCs/>
          <w:color w:val="000000" w:themeColor="text1"/>
        </w:rPr>
        <w:t xml:space="preserve"> radi provedbe projekta „Vrtić po mjeri obitelji“</w:t>
      </w:r>
      <w:r w:rsidR="00390354">
        <w:rPr>
          <w:rFonts w:ascii="Calibri" w:hAnsi="Calibri" w:cs="Calibri"/>
          <w:iCs/>
          <w:color w:val="000000" w:themeColor="text1"/>
        </w:rPr>
        <w:t xml:space="preserve"> što je uvjetovano ugovorom o dodjeli bespovratnih sredstava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3235 - </w:t>
      </w:r>
      <w:r w:rsidRPr="008C745B">
        <w:rPr>
          <w:rFonts w:ascii="Calibri" w:hAnsi="Calibri" w:cs="Calibri"/>
          <w:iCs/>
          <w:color w:val="000000" w:themeColor="text1"/>
        </w:rPr>
        <w:t>Jedna od novootvorenih odgojnih skupina nalazi se u unajmljenom prostoru za koji vrtić plaća mjesečnu najamninu</w:t>
      </w:r>
      <w:r w:rsidR="00390354">
        <w:rPr>
          <w:rFonts w:ascii="Calibri" w:hAnsi="Calibri" w:cs="Calibri"/>
          <w:iCs/>
          <w:color w:val="000000" w:themeColor="text1"/>
        </w:rPr>
        <w:t>. Mjesečna najamnina iznosi 9.000 kuna i razlog je povećanja rashoda za ove troškove za 91%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3237 </w:t>
      </w:r>
      <w:r w:rsidR="00390354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390354" w:rsidRPr="00390354">
        <w:rPr>
          <w:rFonts w:ascii="Calibri" w:hAnsi="Calibri" w:cs="Calibri"/>
          <w:iCs/>
          <w:color w:val="000000" w:themeColor="text1"/>
        </w:rPr>
        <w:t xml:space="preserve">U 2021. godini </w:t>
      </w:r>
      <w:r w:rsidR="00390354">
        <w:rPr>
          <w:rFonts w:ascii="Calibri" w:hAnsi="Calibri" w:cs="Calibri"/>
          <w:iCs/>
          <w:color w:val="000000" w:themeColor="text1"/>
        </w:rPr>
        <w:t>r</w:t>
      </w:r>
      <w:r w:rsidR="00390354" w:rsidRPr="00390354">
        <w:rPr>
          <w:rFonts w:ascii="Calibri" w:hAnsi="Calibri" w:cs="Calibri"/>
          <w:iCs/>
          <w:color w:val="000000" w:themeColor="text1"/>
        </w:rPr>
        <w:t>ashodi za intelektualne usluge iznosile su 81.468 kuna</w:t>
      </w:r>
      <w:r w:rsidRPr="008C745B">
        <w:rPr>
          <w:rFonts w:ascii="Calibri" w:hAnsi="Calibri" w:cs="Calibri"/>
          <w:iCs/>
          <w:color w:val="000000" w:themeColor="text1"/>
        </w:rPr>
        <w:t xml:space="preserve"> radi izrade elaborata i detaljnog pregleda objekata nakon potresa</w:t>
      </w:r>
      <w:r w:rsidR="00390354">
        <w:rPr>
          <w:rFonts w:ascii="Calibri" w:hAnsi="Calibri" w:cs="Calibri"/>
          <w:iCs/>
          <w:color w:val="000000" w:themeColor="text1"/>
        </w:rPr>
        <w:t>. U 2022. godini zabilježeno je smanjenje za 50%.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3292 - </w:t>
      </w:r>
      <w:r w:rsidRPr="008C745B">
        <w:rPr>
          <w:rFonts w:ascii="Calibri" w:hAnsi="Calibri" w:cs="Calibri"/>
          <w:iCs/>
          <w:color w:val="000000" w:themeColor="text1"/>
        </w:rPr>
        <w:t>Do rasta rashoda za premije osiguranja došlo je radi promjene osiguravatelja, te izmjena u vremenu naplate, dok se opseg osiguranja nije povećavao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3293 - </w:t>
      </w:r>
      <w:r w:rsidRPr="008C745B">
        <w:rPr>
          <w:rFonts w:ascii="Calibri" w:hAnsi="Calibri" w:cs="Calibri"/>
          <w:iCs/>
          <w:color w:val="000000" w:themeColor="text1"/>
        </w:rPr>
        <w:t>Početna konferencija projekta „Vrtić po mjeri obitelji“ uzrokovala je rast rashoda za reprezentaciju</w:t>
      </w:r>
      <w:r w:rsidR="00390354">
        <w:rPr>
          <w:rFonts w:ascii="Calibri" w:hAnsi="Calibri" w:cs="Calibri"/>
          <w:iCs/>
          <w:color w:val="000000" w:themeColor="text1"/>
        </w:rPr>
        <w:t xml:space="preserve"> za </w:t>
      </w:r>
      <w:r w:rsidR="00C73C5E">
        <w:rPr>
          <w:rFonts w:ascii="Calibri" w:hAnsi="Calibri" w:cs="Calibri"/>
          <w:iCs/>
          <w:color w:val="000000" w:themeColor="text1"/>
        </w:rPr>
        <w:t>2</w:t>
      </w:r>
      <w:r w:rsidR="00390354">
        <w:rPr>
          <w:rFonts w:ascii="Calibri" w:hAnsi="Calibri" w:cs="Calibri"/>
          <w:iCs/>
          <w:color w:val="000000" w:themeColor="text1"/>
        </w:rPr>
        <w:t>48%</w:t>
      </w:r>
      <w:r w:rsidR="00C73C5E">
        <w:rPr>
          <w:rFonts w:ascii="Calibri" w:hAnsi="Calibri" w:cs="Calibri"/>
          <w:iCs/>
          <w:color w:val="000000" w:themeColor="text1"/>
        </w:rPr>
        <w:t xml:space="preserve"> i oni su 2022. godini iznosili 8.110,80 kuna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3295 - </w:t>
      </w:r>
      <w:r w:rsidRPr="008C745B">
        <w:rPr>
          <w:rFonts w:ascii="Calibri" w:hAnsi="Calibri" w:cs="Calibri"/>
          <w:iCs/>
          <w:color w:val="000000" w:themeColor="text1"/>
        </w:rPr>
        <w:t>Vrtić sudjeluje i u međunarodnom projektu „Say Hello to the World“ čija član</w:t>
      </w:r>
      <w:r w:rsidR="00C73C5E">
        <w:rPr>
          <w:rFonts w:ascii="Calibri" w:hAnsi="Calibri" w:cs="Calibri"/>
          <w:iCs/>
          <w:color w:val="000000" w:themeColor="text1"/>
        </w:rPr>
        <w:t xml:space="preserve">arina je utjecala na povećanje </w:t>
      </w:r>
      <w:r w:rsidRPr="008C745B">
        <w:rPr>
          <w:rFonts w:ascii="Calibri" w:hAnsi="Calibri" w:cs="Calibri"/>
          <w:iCs/>
          <w:color w:val="000000" w:themeColor="text1"/>
        </w:rPr>
        <w:t>rashoda</w:t>
      </w:r>
      <w:r w:rsidR="00C73C5E">
        <w:rPr>
          <w:rFonts w:ascii="Calibri" w:hAnsi="Calibri" w:cs="Calibri"/>
          <w:iCs/>
          <w:color w:val="000000" w:themeColor="text1"/>
        </w:rPr>
        <w:t xml:space="preserve"> za pristojbe i naknade za 86%.</w:t>
      </w:r>
    </w:p>
    <w:p w:rsidR="008C745B" w:rsidRPr="008C745B" w:rsidRDefault="008C745B" w:rsidP="00911B36">
      <w:pPr>
        <w:tabs>
          <w:tab w:val="num" w:pos="426"/>
        </w:tabs>
        <w:jc w:val="both"/>
        <w:rPr>
          <w:rFonts w:ascii="Calibri" w:hAnsi="Calibri" w:cs="Calibri"/>
          <w:b/>
          <w:bCs/>
          <w:color w:val="000000" w:themeColor="text1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 – Rashodi za nabavu nefinancijske imovine</w:t>
      </w:r>
    </w:p>
    <w:p w:rsidR="008C745B" w:rsidRDefault="008C745B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8C745B" w:rsidRPr="008C745B" w:rsidRDefault="008C745B" w:rsidP="00B73C7E">
      <w:pPr>
        <w:tabs>
          <w:tab w:val="num" w:pos="426"/>
        </w:tabs>
        <w:jc w:val="both"/>
        <w:rPr>
          <w:rFonts w:ascii="Calibri" w:hAnsi="Calibri" w:cs="Calibri"/>
          <w:b/>
          <w:b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4227 - </w:t>
      </w:r>
      <w:r w:rsidRPr="008C745B">
        <w:rPr>
          <w:rFonts w:ascii="Calibri" w:hAnsi="Calibri" w:cs="Calibri"/>
          <w:iCs/>
          <w:color w:val="000000" w:themeColor="text1"/>
        </w:rPr>
        <w:t xml:space="preserve">Povećanje rashoda za nabavu opreme </w:t>
      </w:r>
      <w:r w:rsidR="00C73C5E">
        <w:rPr>
          <w:rFonts w:ascii="Calibri" w:hAnsi="Calibri" w:cs="Calibri"/>
          <w:iCs/>
          <w:color w:val="000000" w:themeColor="text1"/>
        </w:rPr>
        <w:t xml:space="preserve">za 186% </w:t>
      </w:r>
      <w:r w:rsidRPr="008C745B">
        <w:rPr>
          <w:rFonts w:ascii="Calibri" w:hAnsi="Calibri" w:cs="Calibri"/>
          <w:iCs/>
          <w:color w:val="000000" w:themeColor="text1"/>
        </w:rPr>
        <w:t>odnosi se na opremu za nove odgojne skupine na objektima Cvrčak i Različak, te za nabavu novih garderobnih ormarića za djecu u objektu Pčelica</w:t>
      </w:r>
      <w:r w:rsidR="00C73C5E">
        <w:rPr>
          <w:rFonts w:ascii="Calibri" w:hAnsi="Calibri" w:cs="Calibri"/>
          <w:iCs/>
          <w:color w:val="000000" w:themeColor="text1"/>
        </w:rPr>
        <w:t xml:space="preserve"> i u 2022. godini iznose 237.419,05 kuna</w:t>
      </w: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9D06ED" w:rsidRDefault="009D06ED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5A71CA" w:rsidRDefault="002938F0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Prikaz s</w:t>
      </w:r>
      <w:r w:rsidR="005A71CA">
        <w:rPr>
          <w:rFonts w:ascii="Calibri" w:hAnsi="Calibri" w:cs="Calibri"/>
          <w:b/>
          <w:bCs/>
        </w:rPr>
        <w:t>truktur</w:t>
      </w:r>
      <w:r>
        <w:rPr>
          <w:rFonts w:ascii="Calibri" w:hAnsi="Calibri" w:cs="Calibri"/>
          <w:b/>
          <w:bCs/>
        </w:rPr>
        <w:t>e</w:t>
      </w:r>
      <w:r w:rsidR="005A71CA">
        <w:rPr>
          <w:rFonts w:ascii="Calibri" w:hAnsi="Calibri" w:cs="Calibri"/>
          <w:b/>
          <w:bCs/>
        </w:rPr>
        <w:t xml:space="preserve"> ukupnih rashoda i izdataka za razdoblje od 2020. do 2022. godine</w:t>
      </w:r>
    </w:p>
    <w:tbl>
      <w:tblPr>
        <w:tblW w:w="111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75"/>
        <w:gridCol w:w="1506"/>
        <w:gridCol w:w="991"/>
        <w:gridCol w:w="1506"/>
        <w:gridCol w:w="991"/>
        <w:gridCol w:w="1506"/>
        <w:gridCol w:w="991"/>
      </w:tblGrid>
      <w:tr w:rsidR="00FA76E0" w:rsidRPr="00FA76E0" w:rsidTr="00FB73D5">
        <w:trPr>
          <w:trHeight w:val="299"/>
        </w:trPr>
        <w:tc>
          <w:tcPr>
            <w:tcW w:w="843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775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Rashodi/Izdaci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2020. godina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2021. godina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2022. godina</w:t>
            </w:r>
          </w:p>
        </w:tc>
      </w:tr>
      <w:tr w:rsidR="00FB73D5" w:rsidRPr="00FA76E0" w:rsidTr="00FB73D5">
        <w:trPr>
          <w:trHeight w:val="299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vMerge/>
            <w:shd w:val="clear" w:color="auto" w:fill="D9D9D9" w:themeFill="background1" w:themeFillShade="D9"/>
            <w:vAlign w:val="center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6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6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B73D5" w:rsidRPr="00FA76E0" w:rsidTr="00FB73D5">
        <w:trPr>
          <w:trHeight w:val="299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14.462.955,79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97,97%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17.212.677,84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99,47%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19.915.005,70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98,82%</w:t>
            </w:r>
          </w:p>
        </w:tc>
      </w:tr>
      <w:tr w:rsidR="00FB73D5" w:rsidRPr="00FA76E0" w:rsidTr="00FB73D5">
        <w:trPr>
          <w:trHeight w:val="299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288.037,00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1,95%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91.108,63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0,53%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237.419,05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1,18%</w:t>
            </w:r>
          </w:p>
        </w:tc>
      </w:tr>
      <w:tr w:rsidR="00FB73D5" w:rsidRPr="00FA76E0" w:rsidTr="00FB73D5">
        <w:trPr>
          <w:trHeight w:val="299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Izdaci za financijsku imovinu i otplatu zajmova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12.135,83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0,08%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B73D5" w:rsidRPr="00FA76E0" w:rsidTr="00FB73D5">
        <w:trPr>
          <w:trHeight w:val="299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14.763.128,62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17.303.786,47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20.152.424,75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A76E0" w:rsidRPr="00FB73D5" w:rsidRDefault="00FA76E0" w:rsidP="00FA76E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73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100,00%</w:t>
            </w:r>
          </w:p>
        </w:tc>
      </w:tr>
    </w:tbl>
    <w:p w:rsidR="005A71CA" w:rsidRDefault="005A71CA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9D06ED" w:rsidRDefault="009D06ED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9D06ED" w:rsidRDefault="00180936" w:rsidP="00180936">
      <w:pPr>
        <w:jc w:val="center"/>
        <w:rPr>
          <w:rFonts w:ascii="Calibri" w:hAnsi="Calibri" w:cs="Calibri"/>
          <w:b/>
          <w:bCs/>
        </w:rPr>
      </w:pPr>
      <w:r w:rsidRPr="009D06ED">
        <w:rPr>
          <w:rFonts w:ascii="Calibri" w:hAnsi="Calibri" w:cs="Calibri"/>
          <w:b/>
          <w:bCs/>
        </w:rPr>
        <w:t>Bilješke uz Bilancu</w:t>
      </w:r>
    </w:p>
    <w:p w:rsidR="00180936" w:rsidRPr="009D06ED" w:rsidRDefault="00180936" w:rsidP="00180936">
      <w:pPr>
        <w:jc w:val="center"/>
        <w:rPr>
          <w:rFonts w:ascii="Calibri" w:hAnsi="Calibri" w:cs="Calibri"/>
          <w:b/>
          <w:bCs/>
        </w:rPr>
      </w:pPr>
      <w:r w:rsidRPr="009D06ED">
        <w:rPr>
          <w:rFonts w:ascii="Calibri" w:hAnsi="Calibri" w:cs="Calibri"/>
          <w:b/>
          <w:bCs/>
        </w:rPr>
        <w:t>BIL</w:t>
      </w:r>
    </w:p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01 – Neproizvedena dugotrajna imovina</w:t>
      </w:r>
    </w:p>
    <w:p w:rsidR="00EF62FD" w:rsidRPr="00EF62FD" w:rsidRDefault="00EF62FD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EF62FD">
        <w:rPr>
          <w:rFonts w:ascii="Calibri" w:hAnsi="Calibri" w:cs="Calibri"/>
          <w:bCs/>
        </w:rPr>
        <w:t>Smanjen</w:t>
      </w:r>
      <w:r w:rsidR="00C73C5E">
        <w:rPr>
          <w:rFonts w:ascii="Calibri" w:hAnsi="Calibri" w:cs="Calibri"/>
          <w:bCs/>
        </w:rPr>
        <w:t>e</w:t>
      </w:r>
      <w:r w:rsidRPr="00EF62FD">
        <w:rPr>
          <w:rFonts w:ascii="Calibri" w:hAnsi="Calibri" w:cs="Calibri"/>
          <w:bCs/>
        </w:rPr>
        <w:t xml:space="preserve"> </w:t>
      </w:r>
      <w:r w:rsidR="00C73C5E">
        <w:rPr>
          <w:rFonts w:ascii="Calibri" w:hAnsi="Calibri" w:cs="Calibri"/>
          <w:bCs/>
        </w:rPr>
        <w:t xml:space="preserve">za 55% </w:t>
      </w:r>
      <w:r w:rsidRPr="00EF62FD">
        <w:rPr>
          <w:rFonts w:ascii="Calibri" w:hAnsi="Calibri" w:cs="Calibri"/>
          <w:bCs/>
        </w:rPr>
        <w:t>u odnosu na prethodno razdoblje</w:t>
      </w:r>
      <w:r w:rsidR="00C73C5E">
        <w:rPr>
          <w:rFonts w:ascii="Calibri" w:hAnsi="Calibri" w:cs="Calibri"/>
          <w:bCs/>
        </w:rPr>
        <w:t xml:space="preserve"> u 2022. godini nastalo je</w:t>
      </w:r>
      <w:r w:rsidRPr="00EF62FD">
        <w:rPr>
          <w:rFonts w:ascii="Calibri" w:hAnsi="Calibri" w:cs="Calibri"/>
          <w:bCs/>
        </w:rPr>
        <w:t xml:space="preserve"> radi godišnjeg obračuna amortizacije,</w:t>
      </w:r>
      <w:r w:rsidR="00C73C5E">
        <w:rPr>
          <w:rFonts w:ascii="Calibri" w:hAnsi="Calibri" w:cs="Calibri"/>
          <w:bCs/>
        </w:rPr>
        <w:t xml:space="preserve"> </w:t>
      </w:r>
      <w:r w:rsidRPr="00EF62FD">
        <w:rPr>
          <w:rFonts w:ascii="Calibri" w:hAnsi="Calibri" w:cs="Calibri"/>
          <w:bCs/>
        </w:rPr>
        <w:t>nije bilo povećanja u 2022. godini</w:t>
      </w:r>
      <w:r w:rsidR="00C73C5E">
        <w:rPr>
          <w:rFonts w:ascii="Calibri" w:hAnsi="Calibri" w:cs="Calibri"/>
          <w:bCs/>
        </w:rPr>
        <w:t xml:space="preserve"> i sada iznosi 72.921,91 kuna</w:t>
      </w: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02 – Postrojenja i oprema</w:t>
      </w: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EF62FD">
        <w:rPr>
          <w:rFonts w:ascii="Calibri" w:hAnsi="Calibri" w:cs="Calibri"/>
          <w:bCs/>
        </w:rPr>
        <w:t>Str</w:t>
      </w:r>
      <w:r>
        <w:rPr>
          <w:rFonts w:ascii="Calibri" w:hAnsi="Calibri" w:cs="Calibri"/>
          <w:bCs/>
        </w:rPr>
        <w:t xml:space="preserve">uktura ove imovine odnosi se na građevinske objekte, opremu, vozila </w:t>
      </w:r>
      <w:r w:rsidR="00D16462">
        <w:rPr>
          <w:rFonts w:ascii="Calibri" w:hAnsi="Calibri" w:cs="Calibri"/>
          <w:bCs/>
        </w:rPr>
        <w:t>i ulaganja u računalne programe. U 2022. godini povećala se samo vrijednost opreme radi novih nabava. Vrijednost os</w:t>
      </w:r>
      <w:r w:rsidR="00C73C5E">
        <w:rPr>
          <w:rFonts w:ascii="Calibri" w:hAnsi="Calibri" w:cs="Calibri"/>
          <w:bCs/>
        </w:rPr>
        <w:t>tale imovine nije se povećavala, a ukupna vrijednost iznosi 2.045.970,68 kuna.</w:t>
      </w:r>
    </w:p>
    <w:p w:rsidR="00D16462" w:rsidRDefault="00D16462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D16462" w:rsidRPr="00D16462" w:rsidRDefault="00D16462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16462">
        <w:rPr>
          <w:rFonts w:ascii="Calibri" w:hAnsi="Calibri" w:cs="Calibri"/>
          <w:b/>
          <w:bCs/>
        </w:rPr>
        <w:t>1 – Financijska imovina</w:t>
      </w:r>
    </w:p>
    <w:p w:rsidR="00D16462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C532F5">
        <w:rPr>
          <w:rFonts w:ascii="Calibri" w:hAnsi="Calibri" w:cs="Calibri"/>
          <w:bCs/>
        </w:rPr>
        <w:t>U ukupnom iznosu financijske imovine nema većih odstupanja od prethodnog razdoblja</w:t>
      </w:r>
    </w:p>
    <w:p w:rsidR="00C532F5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C532F5" w:rsidRPr="00C532F5" w:rsidRDefault="00C532F5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532F5">
        <w:rPr>
          <w:rFonts w:ascii="Calibri" w:hAnsi="Calibri" w:cs="Calibri"/>
          <w:b/>
          <w:bCs/>
        </w:rPr>
        <w:t>16 – Potraživanja za prihode poslovanja</w:t>
      </w:r>
    </w:p>
    <w:p w:rsidR="00C532F5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Potraživanja za prihode poslovanja sastoje se od 165 – potraživanja za fakture izdane korisnicima usluga, umanjene za ispravak vrijednosti potraživanja.</w:t>
      </w:r>
      <w:r w:rsidR="00C73C5E">
        <w:rPr>
          <w:rFonts w:ascii="Calibri" w:hAnsi="Calibri" w:cs="Calibri"/>
          <w:bCs/>
        </w:rPr>
        <w:t xml:space="preserve"> U 2022. godini ona iznose 195.458,11 kuna, što je smanjenje za 20% u odnosu na prethodno razdoblje.</w:t>
      </w:r>
    </w:p>
    <w:p w:rsidR="00C532F5" w:rsidRDefault="00C532F5" w:rsidP="00C532F5">
      <w:pPr>
        <w:jc w:val="both"/>
        <w:rPr>
          <w:rFonts w:ascii="Calibri" w:hAnsi="Calibri" w:cs="Calibri"/>
          <w:bCs/>
        </w:rPr>
      </w:pPr>
    </w:p>
    <w:p w:rsidR="000059ED" w:rsidRPr="00DC1EDB" w:rsidRDefault="000059ED" w:rsidP="00C532F5">
      <w:pPr>
        <w:jc w:val="both"/>
        <w:rPr>
          <w:rFonts w:ascii="Calibri" w:hAnsi="Calibri" w:cs="Calibri"/>
          <w:b/>
          <w:bCs/>
          <w:i/>
        </w:rPr>
      </w:pPr>
      <w:r w:rsidRPr="00DC1EDB">
        <w:rPr>
          <w:rFonts w:ascii="Calibri" w:hAnsi="Calibri" w:cs="Calibri"/>
          <w:b/>
          <w:bCs/>
          <w:i/>
        </w:rPr>
        <w:t>Indeks povećanja i smanjenja potraživanja od korisnika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99"/>
        <w:gridCol w:w="941"/>
        <w:gridCol w:w="799"/>
        <w:gridCol w:w="941"/>
        <w:gridCol w:w="829"/>
        <w:gridCol w:w="941"/>
        <w:gridCol w:w="829"/>
        <w:gridCol w:w="941"/>
        <w:gridCol w:w="799"/>
        <w:gridCol w:w="941"/>
        <w:gridCol w:w="799"/>
      </w:tblGrid>
      <w:tr w:rsidR="000059ED" w:rsidRPr="000059ED" w:rsidTr="002938F0">
        <w:trPr>
          <w:trHeight w:val="676"/>
          <w:jc w:val="center"/>
        </w:trPr>
        <w:tc>
          <w:tcPr>
            <w:tcW w:w="17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17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2018.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17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17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059ED" w:rsidRPr="000059ED" w:rsidRDefault="000059ED" w:rsidP="00293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</w:tr>
      <w:tr w:rsidR="000059ED" w:rsidRPr="000059ED" w:rsidTr="00DC1EDB">
        <w:trPr>
          <w:trHeight w:val="506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Indeks</w:t>
            </w:r>
          </w:p>
        </w:tc>
      </w:tr>
      <w:tr w:rsidR="000059ED" w:rsidRPr="000059ED" w:rsidTr="00DC1EDB">
        <w:trPr>
          <w:trHeight w:val="676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275.329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242.449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548235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548235"/>
                <w:sz w:val="22"/>
                <w:szCs w:val="22"/>
              </w:rPr>
              <w:t>88,06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274.935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FF0000"/>
                <w:sz w:val="22"/>
                <w:szCs w:val="22"/>
              </w:rPr>
              <w:t>113,40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325.427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FF0000"/>
                <w:sz w:val="22"/>
                <w:szCs w:val="22"/>
              </w:rPr>
              <w:t>118,37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246.090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548235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548235"/>
                <w:sz w:val="22"/>
                <w:szCs w:val="22"/>
              </w:rPr>
              <w:t>75,62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000000"/>
                <w:sz w:val="22"/>
                <w:szCs w:val="22"/>
              </w:rPr>
              <w:t>195.458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059ED" w:rsidRPr="000059ED" w:rsidRDefault="000059ED" w:rsidP="000059ED">
            <w:pPr>
              <w:jc w:val="right"/>
              <w:rPr>
                <w:rFonts w:ascii="Calibri" w:hAnsi="Calibri" w:cs="Calibri"/>
                <w:color w:val="548235"/>
                <w:sz w:val="22"/>
                <w:szCs w:val="22"/>
              </w:rPr>
            </w:pPr>
            <w:r w:rsidRPr="000059ED">
              <w:rPr>
                <w:rFonts w:ascii="Calibri" w:hAnsi="Calibri" w:cs="Calibri"/>
                <w:color w:val="548235"/>
                <w:sz w:val="22"/>
                <w:szCs w:val="22"/>
              </w:rPr>
              <w:t>79,43</w:t>
            </w:r>
          </w:p>
        </w:tc>
      </w:tr>
    </w:tbl>
    <w:p w:rsidR="000059ED" w:rsidRDefault="000059ED" w:rsidP="00C532F5">
      <w:pPr>
        <w:jc w:val="both"/>
        <w:rPr>
          <w:rFonts w:ascii="Calibri" w:hAnsi="Calibri" w:cs="Calibri"/>
          <w:bCs/>
        </w:rPr>
      </w:pPr>
    </w:p>
    <w:p w:rsidR="003A0390" w:rsidRDefault="003A0390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C16BEE" w:rsidRPr="00C16BEE" w:rsidRDefault="00C16BEE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16BEE">
        <w:rPr>
          <w:rFonts w:ascii="Calibri" w:hAnsi="Calibri" w:cs="Calibri"/>
          <w:b/>
          <w:bCs/>
        </w:rPr>
        <w:lastRenderedPageBreak/>
        <w:t>169 – Ispravak vrijednosti potraživanja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Sukladno članku 37. Pravilnika o proračunskom računovodstvu, od 2018. godine obračunava se ispravak vrijednosti potraživanja. U 2022. godini obračunat je ispravak vrijednosti potraživanja  po stopi od 50% u iznosu od 8.615,38 kuna. 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računu </w:t>
      </w:r>
      <w:r w:rsidRPr="00C16BEE">
        <w:rPr>
          <w:rFonts w:ascii="Calibri" w:hAnsi="Calibri" w:cs="Calibri"/>
          <w:bCs/>
        </w:rPr>
        <w:t>169</w:t>
      </w:r>
      <w:r>
        <w:rPr>
          <w:rFonts w:ascii="Calibri" w:hAnsi="Calibri" w:cs="Calibri"/>
          <w:b/>
          <w:bCs/>
        </w:rPr>
        <w:t xml:space="preserve"> </w:t>
      </w:r>
      <w:r w:rsidRPr="000059ED">
        <w:rPr>
          <w:rFonts w:ascii="Calibri" w:hAnsi="Calibri" w:cs="Calibri"/>
          <w:bCs/>
        </w:rPr>
        <w:t xml:space="preserve">vidljivo je smanjenje u odnosu na prethodno razdoblje do kojeg je došlo radi </w:t>
      </w:r>
      <w:r w:rsidR="0060355D">
        <w:rPr>
          <w:rFonts w:ascii="Calibri" w:hAnsi="Calibri" w:cs="Calibri"/>
          <w:bCs/>
        </w:rPr>
        <w:t>podmirenja potraživanja na koji</w:t>
      </w:r>
      <w:r>
        <w:rPr>
          <w:rFonts w:ascii="Calibri" w:hAnsi="Calibri" w:cs="Calibri"/>
          <w:bCs/>
        </w:rPr>
        <w:t xml:space="preserve"> je obračunat ispravak potraživanja u iznosu od 15.716,88 kuna.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059ED">
        <w:rPr>
          <w:rFonts w:ascii="Calibri" w:hAnsi="Calibri" w:cs="Calibri"/>
          <w:b/>
          <w:bCs/>
        </w:rPr>
        <w:t>193</w:t>
      </w:r>
      <w:r>
        <w:rPr>
          <w:rFonts w:ascii="Calibri" w:hAnsi="Calibri" w:cs="Calibri"/>
          <w:b/>
          <w:bCs/>
        </w:rPr>
        <w:t xml:space="preserve"> </w:t>
      </w:r>
      <w:r w:rsidRPr="000059ED"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  <w:b/>
          <w:bCs/>
        </w:rPr>
        <w:t>Kontinuirani rashodi budućih razdoblja</w:t>
      </w:r>
    </w:p>
    <w:p w:rsidR="007D4603" w:rsidRPr="007D4603" w:rsidRDefault="007D4603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Evidentirani su kontinuirani rashodi za prosinac 2022. godine i obuhvaćaju rashode za zaposlene, naknade članovima UV-a, te režijske troškove.</w:t>
      </w:r>
      <w:r w:rsidR="00C73C5E">
        <w:rPr>
          <w:rFonts w:ascii="Calibri" w:hAnsi="Calibri" w:cs="Calibri"/>
          <w:bCs/>
        </w:rPr>
        <w:t xml:space="preserve"> Isti iznose 1.465.590,09 kuna</w:t>
      </w:r>
      <w:r w:rsidR="003A0390">
        <w:rPr>
          <w:rFonts w:ascii="Calibri" w:hAnsi="Calibri" w:cs="Calibri"/>
          <w:bCs/>
        </w:rPr>
        <w:t xml:space="preserve"> što je 27% povećanje u odnosu na 2021. godinu.</w:t>
      </w:r>
    </w:p>
    <w:p w:rsidR="007D4603" w:rsidRDefault="007D4603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C16BEE" w:rsidRDefault="007D4603" w:rsidP="008C745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96C05">
        <w:rPr>
          <w:rFonts w:asciiTheme="minorHAnsi" w:hAnsiTheme="minorHAnsi" w:cstheme="minorHAnsi"/>
          <w:b/>
          <w:bCs/>
        </w:rPr>
        <w:t xml:space="preserve">922 </w:t>
      </w:r>
      <w:r w:rsidR="00C16BEE">
        <w:rPr>
          <w:rFonts w:asciiTheme="minorHAnsi" w:hAnsiTheme="minorHAnsi" w:cstheme="minorHAnsi"/>
          <w:b/>
          <w:bCs/>
        </w:rPr>
        <w:t>–</w:t>
      </w:r>
      <w:r w:rsidRPr="00296C05">
        <w:rPr>
          <w:rFonts w:asciiTheme="minorHAnsi" w:hAnsiTheme="minorHAnsi" w:cstheme="minorHAnsi"/>
          <w:b/>
          <w:bCs/>
        </w:rPr>
        <w:t xml:space="preserve"> </w:t>
      </w:r>
      <w:r w:rsidR="00C16BEE">
        <w:rPr>
          <w:rFonts w:asciiTheme="minorHAnsi" w:hAnsiTheme="minorHAnsi" w:cstheme="minorHAnsi"/>
          <w:b/>
          <w:bCs/>
        </w:rPr>
        <w:t>Višak/manjak prihoda</w:t>
      </w:r>
    </w:p>
    <w:p w:rsidR="00296C05" w:rsidRDefault="00296C05" w:rsidP="008C745B">
      <w:pPr>
        <w:spacing w:line="276" w:lineRule="auto"/>
        <w:jc w:val="both"/>
        <w:rPr>
          <w:rFonts w:asciiTheme="minorHAnsi" w:hAnsiTheme="minorHAnsi" w:cstheme="minorHAnsi"/>
        </w:rPr>
      </w:pPr>
      <w:r w:rsidRPr="00296C05">
        <w:rPr>
          <w:rFonts w:asciiTheme="minorHAnsi" w:hAnsiTheme="minorHAnsi" w:cstheme="minorHAnsi"/>
        </w:rPr>
        <w:t>Saldo na kraju godine utvrđen je prebijanjem računa viškova i manjkova po istovrsnim kategorijama i izvorima financiranja (višak prihoda poslovanja i manjak prihoda poslovanja, višak prihoda od nefinancijske imovine i manjak prihoda od nefinancijske imovine) na razini osnovnog računa.</w:t>
      </w:r>
      <w:r>
        <w:rPr>
          <w:rFonts w:asciiTheme="minorHAnsi" w:hAnsiTheme="minorHAnsi" w:cstheme="minorHAnsi"/>
        </w:rPr>
        <w:t xml:space="preserve"> Utvrđen je višak prihoda poslovanja u iznosu od 125.639,08, te manjak prihoda od nefinancijske imovine u iznosu 237.419,05. Prenesi višak iz prethodnog razdoblja iznosi 265.966,10 kuna.</w:t>
      </w:r>
    </w:p>
    <w:p w:rsidR="00296C05" w:rsidRDefault="00296C05" w:rsidP="007D4603">
      <w:pPr>
        <w:jc w:val="both"/>
        <w:rPr>
          <w:rFonts w:asciiTheme="minorHAnsi" w:hAnsiTheme="minorHAnsi" w:cstheme="minorHAnsi"/>
        </w:rPr>
      </w:pPr>
    </w:p>
    <w:p w:rsidR="00296C05" w:rsidRPr="007D18CC" w:rsidRDefault="00296C05" w:rsidP="007D460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D18CC">
        <w:rPr>
          <w:rFonts w:asciiTheme="minorHAnsi" w:hAnsiTheme="minorHAnsi" w:cstheme="minorHAnsi"/>
          <w:b/>
          <w:color w:val="000000" w:themeColor="text1"/>
        </w:rPr>
        <w:t>Prikaz rezultata po izvorima</w:t>
      </w:r>
    </w:p>
    <w:tbl>
      <w:tblPr>
        <w:tblW w:w="9660" w:type="dxa"/>
        <w:tblInd w:w="-5" w:type="dxa"/>
        <w:tblLook w:val="04A0" w:firstRow="1" w:lastRow="0" w:firstColumn="1" w:lastColumn="0" w:noHBand="0" w:noVBand="1"/>
      </w:tblPr>
      <w:tblGrid>
        <w:gridCol w:w="960"/>
        <w:gridCol w:w="7080"/>
        <w:gridCol w:w="1620"/>
      </w:tblGrid>
      <w:tr w:rsidR="007D18CC" w:rsidRPr="007D18CC" w:rsidTr="007D18CC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7D18CC" w:rsidRPr="007D18CC" w:rsidTr="007D18C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4.0.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sz w:val="22"/>
                <w:szCs w:val="22"/>
              </w:rPr>
            </w:pPr>
            <w:r w:rsidRPr="007D18CC">
              <w:rPr>
                <w:rFonts w:ascii="Calibri" w:hAnsi="Calibri" w:cs="Calibri"/>
                <w:sz w:val="22"/>
                <w:szCs w:val="22"/>
              </w:rPr>
              <w:t>PRIHODI ZA POSEBNE NAMJENE - PRORAČUNSKI KORISNICI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114.910,98</w:t>
            </w:r>
          </w:p>
        </w:tc>
      </w:tr>
      <w:tr w:rsidR="007D18CC" w:rsidRPr="007D18CC" w:rsidTr="007D18C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sz w:val="22"/>
                <w:szCs w:val="22"/>
              </w:rPr>
            </w:pPr>
            <w:r w:rsidRPr="007D18CC">
              <w:rPr>
                <w:rFonts w:ascii="Calibri" w:hAnsi="Calibri" w:cs="Calibri"/>
                <w:sz w:val="22"/>
                <w:szCs w:val="22"/>
              </w:rPr>
              <w:t>PRIHODI OD TEKUĆIH POMOĆI IZ DRŽAVNOG PRORAČUNA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37.240,90</w:t>
            </w:r>
          </w:p>
        </w:tc>
      </w:tr>
      <w:tr w:rsidR="007D18CC" w:rsidRPr="007D18CC" w:rsidTr="007D18C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sz w:val="22"/>
                <w:szCs w:val="22"/>
              </w:rPr>
            </w:pPr>
            <w:r w:rsidRPr="007D18CC">
              <w:rPr>
                <w:rFonts w:ascii="Calibri" w:hAnsi="Calibri" w:cs="Calibri"/>
                <w:sz w:val="22"/>
                <w:szCs w:val="22"/>
              </w:rPr>
              <w:t>DONACIJE - PRORAČUNSKI KORISNICI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2.033,75</w:t>
            </w:r>
          </w:p>
        </w:tc>
      </w:tr>
      <w:tr w:rsidR="007D18CC" w:rsidRPr="007D18CC" w:rsidTr="007D18C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CC" w:rsidRPr="007D18CC" w:rsidRDefault="007D18CC" w:rsidP="007D1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sz w:val="22"/>
                <w:szCs w:val="22"/>
              </w:rPr>
            </w:pPr>
            <w:r w:rsidRPr="007D18CC">
              <w:rPr>
                <w:rFonts w:ascii="Calibri" w:hAnsi="Calibri" w:cs="Calibri"/>
                <w:sz w:val="22"/>
                <w:szCs w:val="22"/>
              </w:rPr>
              <w:t>PRIHODI OD PRODAJE NEFINANCIJSKE IMOVINE - PK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</w:tr>
      <w:tr w:rsidR="007D18CC" w:rsidRPr="007D18CC" w:rsidTr="007D18C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CC" w:rsidRPr="007D18CC" w:rsidRDefault="007D18CC" w:rsidP="007D18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8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154.186,13</w:t>
            </w:r>
          </w:p>
        </w:tc>
      </w:tr>
    </w:tbl>
    <w:p w:rsidR="00296C05" w:rsidRPr="00296C05" w:rsidRDefault="00296C05" w:rsidP="007D4603">
      <w:pPr>
        <w:jc w:val="both"/>
        <w:rPr>
          <w:rFonts w:asciiTheme="minorHAnsi" w:hAnsiTheme="minorHAnsi" w:cstheme="minorHAnsi"/>
        </w:rPr>
      </w:pPr>
    </w:p>
    <w:p w:rsidR="007D4603" w:rsidRDefault="007D4603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F73D6" w:rsidRDefault="003F73D6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180936" w:rsidRPr="00296C05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96C05">
        <w:rPr>
          <w:rFonts w:ascii="Calibri" w:hAnsi="Calibri" w:cs="Calibri"/>
          <w:b/>
          <w:bCs/>
        </w:rPr>
        <w:t>Bilješke uz Izvještaj o rashodima prema funkcijskoj klasifikaciji</w:t>
      </w:r>
    </w:p>
    <w:p w:rsidR="00180936" w:rsidRPr="00296C05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96C05">
        <w:rPr>
          <w:rFonts w:ascii="Calibri" w:hAnsi="Calibri" w:cs="Calibri"/>
          <w:b/>
          <w:bCs/>
        </w:rPr>
        <w:t>RAS-funkcijski</w:t>
      </w:r>
    </w:p>
    <w:p w:rsidR="00180936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Default="00180936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</w:t>
      </w:r>
      <w:r w:rsidR="004B17EF">
        <w:rPr>
          <w:rFonts w:ascii="Calibri" w:hAnsi="Calibri" w:cs="Calibri"/>
          <w:bCs/>
        </w:rPr>
        <w:t>1.138.128,35</w:t>
      </w:r>
      <w:r>
        <w:rPr>
          <w:rFonts w:ascii="Calibri" w:hAnsi="Calibri" w:cs="Calibri"/>
          <w:bCs/>
        </w:rPr>
        <w:t xml:space="preserve"> kuna. </w:t>
      </w:r>
      <w:r w:rsidR="001C7578">
        <w:rPr>
          <w:rFonts w:ascii="Calibri" w:hAnsi="Calibri" w:cs="Calibri"/>
          <w:bCs/>
        </w:rPr>
        <w:t>Povećanje</w:t>
      </w:r>
      <w:r>
        <w:rPr>
          <w:rFonts w:ascii="Calibri" w:hAnsi="Calibri" w:cs="Calibri"/>
          <w:bCs/>
        </w:rPr>
        <w:t xml:space="preserve"> u odnosu na prethodno razdoblje odnosi se na </w:t>
      </w:r>
      <w:r w:rsidR="004B17EF">
        <w:rPr>
          <w:rFonts w:ascii="Calibri" w:hAnsi="Calibri" w:cs="Calibri"/>
          <w:bCs/>
        </w:rPr>
        <w:t>rast cijena prehrambenih proizvoda i povećanje broja korisnika usluga</w:t>
      </w:r>
      <w:r w:rsidR="001C7578">
        <w:rPr>
          <w:rFonts w:ascii="Calibri" w:hAnsi="Calibri" w:cs="Calibri"/>
          <w:bCs/>
        </w:rPr>
        <w:t xml:space="preserve">. </w:t>
      </w:r>
      <w:r w:rsidR="004B17EF">
        <w:rPr>
          <w:rFonts w:ascii="Calibri" w:hAnsi="Calibri" w:cs="Calibri"/>
          <w:bCs/>
        </w:rPr>
        <w:t xml:space="preserve">Funkcija </w:t>
      </w:r>
      <w:r w:rsidR="004B17EF" w:rsidRPr="004B17EF">
        <w:rPr>
          <w:rFonts w:ascii="Calibri" w:hAnsi="Calibri" w:cs="Calibri"/>
          <w:b/>
          <w:bCs/>
        </w:rPr>
        <w:t>104 Obitelj i djeca</w:t>
      </w:r>
      <w:r w:rsidR="004B17EF">
        <w:rPr>
          <w:rFonts w:ascii="Calibri" w:hAnsi="Calibri" w:cs="Calibri"/>
          <w:bCs/>
        </w:rPr>
        <w:t xml:space="preserve"> odnosi se na sudjelovanje vrtića u Erasmus+ projektu. </w:t>
      </w:r>
      <w:r w:rsidR="001C7578">
        <w:rPr>
          <w:rFonts w:ascii="Calibri" w:hAnsi="Calibri" w:cs="Calibri"/>
          <w:bCs/>
        </w:rPr>
        <w:t xml:space="preserve">Funkcija </w:t>
      </w:r>
      <w:r w:rsidR="001C7578" w:rsidRPr="001C7578">
        <w:rPr>
          <w:rFonts w:ascii="Calibri" w:hAnsi="Calibri" w:cs="Calibri"/>
          <w:b/>
          <w:bCs/>
        </w:rPr>
        <w:t>109 Aktivnost socijalne zaštite</w:t>
      </w:r>
      <w:r w:rsidR="001C7578">
        <w:rPr>
          <w:rFonts w:ascii="Calibri" w:hAnsi="Calibri" w:cs="Calibri"/>
          <w:bCs/>
        </w:rPr>
        <w:t xml:space="preserve"> odnosi se na troškove prouzrokovane potresom koji je zadesio područje Grada Siska i iznosi </w:t>
      </w:r>
      <w:r w:rsidR="004B17EF">
        <w:rPr>
          <w:rFonts w:ascii="Calibri" w:hAnsi="Calibri" w:cs="Calibri"/>
          <w:bCs/>
        </w:rPr>
        <w:t>150.000,00</w:t>
      </w:r>
      <w:r w:rsidR="001C7578">
        <w:rPr>
          <w:rFonts w:ascii="Calibri" w:hAnsi="Calibri" w:cs="Calibri"/>
          <w:bCs/>
        </w:rPr>
        <w:t xml:space="preserve"> kuna.</w:t>
      </w:r>
    </w:p>
    <w:p w:rsidR="003F73D6" w:rsidRDefault="003F73D6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3F73D6" w:rsidRDefault="003F73D6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180936" w:rsidRDefault="003F73D6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Prikaz rasta funkcijske klasifikacije 096 – Dodatne usluge u obrazovanju</w:t>
      </w:r>
    </w:p>
    <w:p w:rsidR="003F73D6" w:rsidRDefault="003F73D6" w:rsidP="00180936">
      <w:pPr>
        <w:jc w:val="both"/>
        <w:rPr>
          <w:rFonts w:ascii="Calibri" w:hAnsi="Calibri" w:cs="Calibri"/>
          <w:b/>
          <w:bCs/>
        </w:rPr>
      </w:pPr>
    </w:p>
    <w:p w:rsidR="004B17EF" w:rsidRDefault="00B640D8" w:rsidP="00180936">
      <w:pPr>
        <w:jc w:val="both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19D090A6" wp14:editId="5F55CBDE">
            <wp:extent cx="6105525" cy="2514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8C745B" w:rsidRDefault="008C745B" w:rsidP="00180936">
      <w:pPr>
        <w:jc w:val="center"/>
        <w:rPr>
          <w:rFonts w:ascii="Calibri" w:hAnsi="Calibri" w:cs="Calibri"/>
          <w:b/>
          <w:bCs/>
        </w:rPr>
      </w:pPr>
    </w:p>
    <w:p w:rsidR="00180936" w:rsidRPr="003F73D6" w:rsidRDefault="00180936" w:rsidP="00180936">
      <w:pPr>
        <w:jc w:val="center"/>
        <w:rPr>
          <w:rFonts w:ascii="Calibri" w:hAnsi="Calibri" w:cs="Calibri"/>
          <w:b/>
          <w:bCs/>
        </w:rPr>
      </w:pPr>
      <w:r w:rsidRPr="003F73D6">
        <w:rPr>
          <w:rFonts w:ascii="Calibri" w:hAnsi="Calibri" w:cs="Calibri"/>
          <w:b/>
          <w:bCs/>
        </w:rPr>
        <w:t>Bilješke uz Izvještaj o obvezama</w:t>
      </w:r>
    </w:p>
    <w:p w:rsidR="00180936" w:rsidRPr="003F73D6" w:rsidRDefault="00180936" w:rsidP="00180936">
      <w:pPr>
        <w:jc w:val="center"/>
        <w:rPr>
          <w:rFonts w:ascii="Calibri" w:hAnsi="Calibri" w:cs="Calibri"/>
          <w:b/>
          <w:bCs/>
        </w:rPr>
      </w:pPr>
      <w:r w:rsidRPr="003F73D6">
        <w:rPr>
          <w:rFonts w:ascii="Calibri" w:hAnsi="Calibri" w:cs="Calibri"/>
          <w:b/>
          <w:bCs/>
        </w:rPr>
        <w:t>OBVEZE</w:t>
      </w:r>
    </w:p>
    <w:p w:rsidR="001C7578" w:rsidRDefault="001C7578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DA683B" w:rsidRDefault="00180936" w:rsidP="00180936">
      <w:pPr>
        <w:jc w:val="both"/>
        <w:rPr>
          <w:rFonts w:ascii="Calibri" w:hAnsi="Calibri" w:cs="Calibri"/>
          <w:bCs/>
        </w:rPr>
      </w:pPr>
      <w:r w:rsidRPr="00DA683B">
        <w:rPr>
          <w:rFonts w:ascii="Calibri" w:hAnsi="Calibri" w:cs="Calibri"/>
          <w:bCs/>
        </w:rPr>
        <w:t xml:space="preserve">Podatak o stanju nedospjelih obveza na kraju razdoblja s obzirom na rokove dospijeća tih obveza: </w:t>
      </w:r>
    </w:p>
    <w:tbl>
      <w:tblPr>
        <w:tblStyle w:val="ListTable7Colorful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3248"/>
      </w:tblGrid>
      <w:tr w:rsidR="00094A89" w:rsidRPr="00094A89" w:rsidTr="00FB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7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hideMark/>
          </w:tcPr>
          <w:p w:rsidR="00180936" w:rsidRPr="00094A89" w:rsidRDefault="00180936" w:rsidP="003F73D6">
            <w:pPr>
              <w:jc w:val="center"/>
              <w:rPr>
                <w:rFonts w:ascii="Calibri" w:hAnsi="Calibri" w:cs="Arial"/>
                <w:b/>
                <w:bCs/>
                <w:i w:val="0"/>
              </w:rPr>
            </w:pPr>
            <w:r w:rsidRPr="00094A89">
              <w:rPr>
                <w:rFonts w:ascii="Calibri" w:hAnsi="Calibri" w:cs="Arial"/>
                <w:b/>
                <w:bCs/>
                <w:i w:val="0"/>
              </w:rPr>
              <w:t xml:space="preserve">Nedospjele obveze na kraju izvještajnog razdoblja 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a) Rok dospijeća - 1 do 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3F73D6" w:rsidP="00DA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1.922.838,50</w:t>
            </w:r>
          </w:p>
        </w:tc>
      </w:tr>
      <w:tr w:rsidR="00094A89" w:rsidRPr="00094A89" w:rsidTr="00FB73D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b) Rok dospijeća - 61 do 180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c) Rok dospijeća - 181 do 360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d) Rok dospijeća preko 360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EB40C8">
            <w:pPr>
              <w:ind w:firstLineChars="100" w:firstLine="241"/>
              <w:rPr>
                <w:rFonts w:ascii="Calibri" w:hAnsi="Calibri" w:cs="Arial"/>
                <w:b/>
                <w:i w:val="0"/>
              </w:rPr>
            </w:pPr>
            <w:r w:rsidRPr="00094A89">
              <w:rPr>
                <w:rFonts w:ascii="Calibri" w:hAnsi="Calibri" w:cs="Arial"/>
                <w:b/>
                <w:i w:val="0"/>
              </w:rPr>
              <w:t>UKUPNO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3F73D6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094A89">
              <w:rPr>
                <w:rFonts w:ascii="Calibri" w:hAnsi="Calibri" w:cs="Arial"/>
                <w:b/>
              </w:rPr>
              <w:t>1.922.838,50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DA683B" w:rsidRDefault="00180936" w:rsidP="001809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3A0390" w:rsidRDefault="003A0390" w:rsidP="00094A89">
      <w:pPr>
        <w:jc w:val="center"/>
        <w:rPr>
          <w:rFonts w:ascii="Calibri" w:hAnsi="Calibri" w:cs="Calibri"/>
          <w:b/>
          <w:bCs/>
        </w:rPr>
      </w:pPr>
    </w:p>
    <w:p w:rsidR="003A0390" w:rsidRDefault="003A0390" w:rsidP="00094A89">
      <w:pPr>
        <w:jc w:val="center"/>
        <w:rPr>
          <w:rFonts w:ascii="Calibri" w:hAnsi="Calibri" w:cs="Calibri"/>
          <w:b/>
          <w:bCs/>
        </w:rPr>
      </w:pPr>
    </w:p>
    <w:p w:rsidR="00180936" w:rsidRPr="00094A89" w:rsidRDefault="00094A89" w:rsidP="00094A89">
      <w:pPr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Specifikacije nedospijelih obveza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6066"/>
        <w:gridCol w:w="2284"/>
      </w:tblGrid>
      <w:tr w:rsidR="00FB73D5" w:rsidRPr="003F73D6" w:rsidTr="00FB73D5">
        <w:trPr>
          <w:trHeight w:val="333"/>
        </w:trPr>
        <w:tc>
          <w:tcPr>
            <w:tcW w:w="1073" w:type="dxa"/>
            <w:shd w:val="clear" w:color="000000" w:fill="BFBFBF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Obveze</w:t>
            </w:r>
          </w:p>
        </w:tc>
        <w:tc>
          <w:tcPr>
            <w:tcW w:w="6066" w:type="dxa"/>
            <w:shd w:val="clear" w:color="000000" w:fill="BFBFBF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Opis</w:t>
            </w:r>
          </w:p>
        </w:tc>
        <w:tc>
          <w:tcPr>
            <w:tcW w:w="2284" w:type="dxa"/>
            <w:shd w:val="clear" w:color="000000" w:fill="BFBFBF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Iznos</w:t>
            </w:r>
          </w:p>
        </w:tc>
      </w:tr>
      <w:tr w:rsidR="00FB73D5" w:rsidRPr="003F73D6" w:rsidTr="00FB73D5">
        <w:trPr>
          <w:trHeight w:val="318"/>
        </w:trPr>
        <w:tc>
          <w:tcPr>
            <w:tcW w:w="1073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i/>
                <w:iCs/>
                <w:color w:val="000000" w:themeColor="text1"/>
              </w:rPr>
              <w:t>231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Obveze za zaposlene (plaća za 12.mj)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1.438.470,70</w:t>
            </w:r>
          </w:p>
        </w:tc>
      </w:tr>
      <w:tr w:rsidR="00FB73D5" w:rsidRPr="003F73D6" w:rsidTr="00FB73D5">
        <w:trPr>
          <w:trHeight w:val="266"/>
        </w:trPr>
        <w:tc>
          <w:tcPr>
            <w:tcW w:w="1073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i/>
                <w:iCs/>
                <w:color w:val="000000" w:themeColor="text1"/>
              </w:rPr>
              <w:t>232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Obveze za materijalne rashode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351.245,85</w:t>
            </w:r>
          </w:p>
        </w:tc>
      </w:tr>
      <w:tr w:rsidR="00FB73D5" w:rsidRPr="003F73D6" w:rsidTr="00FB73D5">
        <w:trPr>
          <w:trHeight w:val="256"/>
        </w:trPr>
        <w:tc>
          <w:tcPr>
            <w:tcW w:w="1073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i/>
                <w:iCs/>
                <w:color w:val="000000" w:themeColor="text1"/>
              </w:rPr>
              <w:t>239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Ostale tekuće obveze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129.184,45</w:t>
            </w:r>
          </w:p>
        </w:tc>
      </w:tr>
      <w:tr w:rsidR="00FB73D5" w:rsidRPr="003F73D6" w:rsidTr="00FB73D5">
        <w:trPr>
          <w:trHeight w:val="246"/>
        </w:trPr>
        <w:tc>
          <w:tcPr>
            <w:tcW w:w="1073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i/>
                <w:iCs/>
                <w:color w:val="000000" w:themeColor="text1"/>
              </w:rPr>
              <w:t>242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Obveze za nabavu nefinancijske imovine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3F73D6">
              <w:rPr>
                <w:rFonts w:ascii="Calibri" w:hAnsi="Calibri" w:cs="Calibri"/>
                <w:color w:val="000000" w:themeColor="text1"/>
              </w:rPr>
              <w:t>3.937,50</w:t>
            </w:r>
          </w:p>
        </w:tc>
      </w:tr>
      <w:tr w:rsidR="00FB73D5" w:rsidRPr="003F73D6" w:rsidTr="00FB73D5">
        <w:trPr>
          <w:trHeight w:val="222"/>
        </w:trPr>
        <w:tc>
          <w:tcPr>
            <w:tcW w:w="1073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color w:val="000000" w:themeColor="text1"/>
              </w:rPr>
              <w:t>UKUPNO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3F73D6" w:rsidRPr="003F73D6" w:rsidRDefault="003F73D6" w:rsidP="003F73D6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F73D6">
              <w:rPr>
                <w:rFonts w:ascii="Calibri" w:hAnsi="Calibri" w:cs="Calibri"/>
                <w:b/>
                <w:bCs/>
                <w:color w:val="000000" w:themeColor="text1"/>
              </w:rPr>
              <w:t>1.922.838,50</w:t>
            </w:r>
          </w:p>
        </w:tc>
      </w:tr>
    </w:tbl>
    <w:p w:rsidR="003F73D6" w:rsidRDefault="003F73D6" w:rsidP="00180936">
      <w:pPr>
        <w:jc w:val="both"/>
        <w:rPr>
          <w:rFonts w:ascii="Calibri" w:hAnsi="Calibri" w:cs="Calibri"/>
          <w:bCs/>
        </w:rPr>
      </w:pPr>
    </w:p>
    <w:p w:rsidR="00D11A6D" w:rsidRDefault="00D11A6D" w:rsidP="00180936">
      <w:pPr>
        <w:jc w:val="both"/>
        <w:rPr>
          <w:rFonts w:ascii="Calibri" w:hAnsi="Calibri" w:cs="Calibri"/>
          <w:bCs/>
        </w:rPr>
      </w:pPr>
    </w:p>
    <w:p w:rsidR="003F73D6" w:rsidRDefault="00D11A6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Rast obveza na kraju izvještajnog razdoblja vezan je za povećanje ukupn</w:t>
      </w:r>
      <w:r w:rsidR="0060355D">
        <w:rPr>
          <w:rFonts w:ascii="Calibri" w:hAnsi="Calibri" w:cs="Calibri"/>
          <w:bCs/>
        </w:rPr>
        <w:t xml:space="preserve">ih troškova poslovanja vrtića što je rezultat rasta cijena, </w:t>
      </w:r>
      <w:r>
        <w:rPr>
          <w:rFonts w:ascii="Calibri" w:hAnsi="Calibri" w:cs="Calibri"/>
          <w:bCs/>
        </w:rPr>
        <w:t xml:space="preserve">povećanja broja korisnika, broja zaposlenih, </w:t>
      </w:r>
      <w:r w:rsidR="0060355D">
        <w:rPr>
          <w:rFonts w:ascii="Calibri" w:hAnsi="Calibri" w:cs="Calibri"/>
          <w:bCs/>
        </w:rPr>
        <w:t xml:space="preserve">te </w:t>
      </w:r>
      <w:r>
        <w:rPr>
          <w:rFonts w:ascii="Calibri" w:hAnsi="Calibri" w:cs="Calibri"/>
          <w:bCs/>
        </w:rPr>
        <w:t>sudjelovanje vrtića u dva projekta</w:t>
      </w:r>
      <w:r w:rsidR="0060355D">
        <w:rPr>
          <w:rFonts w:ascii="Calibri" w:hAnsi="Calibri" w:cs="Calibri"/>
          <w:bCs/>
        </w:rPr>
        <w:t xml:space="preserve"> sufinancirana iz fondova Europske unije.</w:t>
      </w:r>
    </w:p>
    <w:p w:rsidR="00180936" w:rsidRDefault="00180936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180936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Pr="00677F31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Pr="00094A89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Bilješke uz Izvještaj o promjenama u vrijednosti i obujmu imovine i obveza</w:t>
      </w:r>
    </w:p>
    <w:p w:rsidR="00180936" w:rsidRPr="00094A89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P-VRIO</w:t>
      </w:r>
    </w:p>
    <w:p w:rsidR="004B3D22" w:rsidRDefault="004B3D22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Default="00180936" w:rsidP="008C745B">
      <w:pPr>
        <w:spacing w:line="276" w:lineRule="auto"/>
        <w:rPr>
          <w:rFonts w:ascii="Calibri" w:hAnsi="Calibri" w:cs="Calibri"/>
          <w:b/>
          <w:bCs/>
        </w:rPr>
      </w:pPr>
    </w:p>
    <w:p w:rsidR="00180936" w:rsidRPr="004B3D22" w:rsidRDefault="004B3D22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4B3D22">
        <w:rPr>
          <w:rFonts w:ascii="Calibri" w:hAnsi="Calibri" w:cs="Calibri"/>
          <w:bCs/>
        </w:rPr>
        <w:t xml:space="preserve">Dječji vrtić Sisak Stari </w:t>
      </w:r>
      <w:r>
        <w:rPr>
          <w:rFonts w:ascii="Calibri" w:hAnsi="Calibri" w:cs="Calibri"/>
          <w:bCs/>
        </w:rPr>
        <w:t>u 202</w:t>
      </w:r>
      <w:r w:rsidR="00094A89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. godini </w:t>
      </w:r>
      <w:r w:rsidRPr="004B3D22">
        <w:rPr>
          <w:rFonts w:ascii="Calibri" w:hAnsi="Calibri" w:cs="Calibri"/>
          <w:bCs/>
        </w:rPr>
        <w:t xml:space="preserve">nije imao promjene na obujmu imovine </w:t>
      </w:r>
      <w:r>
        <w:rPr>
          <w:rFonts w:ascii="Calibri" w:hAnsi="Calibri" w:cs="Calibri"/>
          <w:bCs/>
        </w:rPr>
        <w:t xml:space="preserve">unutar računa 915 računskog plana. </w:t>
      </w:r>
    </w:p>
    <w:p w:rsidR="00180936" w:rsidRDefault="00180936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11A6D" w:rsidRDefault="00D11A6D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</w:t>
      </w:r>
      <w:r w:rsidR="00AA7B16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 siječanj 202</w:t>
      </w:r>
      <w:r w:rsidR="00094A89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D11A6D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Bilješke sastavila</w:t>
      </w:r>
      <w:r w:rsidR="00180936">
        <w:rPr>
          <w:rFonts w:ascii="Calibri" w:hAnsi="Calibri" w:cs="Calibri"/>
          <w:bCs/>
        </w:rPr>
        <w:t xml:space="preserve"> </w:t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  <w:t>Ravnateljica</w:t>
      </w:r>
    </w:p>
    <w:p w:rsidR="00180936" w:rsidRPr="0060355D" w:rsidRDefault="00D11A6D" w:rsidP="0060355D">
      <w:pPr>
        <w:spacing w:before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sectPr w:rsidR="00180936" w:rsidRPr="0060355D" w:rsidSect="00FA76E0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09" w:rsidRDefault="000F6909" w:rsidP="00881929">
      <w:r>
        <w:separator/>
      </w:r>
    </w:p>
  </w:endnote>
  <w:endnote w:type="continuationSeparator" w:id="0">
    <w:p w:rsidR="000F6909" w:rsidRDefault="000F6909" w:rsidP="008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09" w:rsidRDefault="000F6909" w:rsidP="00881929">
      <w:r>
        <w:separator/>
      </w:r>
    </w:p>
  </w:footnote>
  <w:footnote w:type="continuationSeparator" w:id="0">
    <w:p w:rsidR="000F6909" w:rsidRDefault="000F6909" w:rsidP="0088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4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13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14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>, Sisak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Tel/Fax: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3A4221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</w:t>
    </w:r>
    <w:hyperlink r:id="rId3" w:history="1">
      <w:r w:rsidR="003A4221" w:rsidRPr="001D532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www.dvss.hr</w:t>
      </w:r>
    </w:hyperlink>
  </w:p>
  <w:p w:rsidR="003A4221" w:rsidRPr="00A50FF4" w:rsidRDefault="003A4221" w:rsidP="00A50FF4">
    <w:pPr>
      <w:rPr>
        <w:rFonts w:asciiTheme="minorHAnsi" w:hAnsiTheme="minorHAnsi" w:cstheme="minorHAnsi"/>
        <w:bCs/>
        <w:sz w:val="16"/>
        <w:szCs w:val="16"/>
      </w:rPr>
    </w:pPr>
  </w:p>
  <w:p w:rsidR="00881929" w:rsidRPr="00881929" w:rsidRDefault="000F690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>
      <w:rPr>
        <w:rFonts w:asciiTheme="minorHAnsi" w:eastAsia="Constantia" w:hAnsiTheme="minorHAnsi" w:cstheme="minorHAnsi"/>
        <w:i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861A32"/>
    <w:multiLevelType w:val="multilevel"/>
    <w:tmpl w:val="711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3724A"/>
    <w:multiLevelType w:val="hybridMultilevel"/>
    <w:tmpl w:val="4E3CDD82"/>
    <w:lvl w:ilvl="0" w:tplc="5894A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25F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83544"/>
    <w:multiLevelType w:val="multilevel"/>
    <w:tmpl w:val="619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D25624F"/>
    <w:multiLevelType w:val="hybridMultilevel"/>
    <w:tmpl w:val="2BF8564C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61CF4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9"/>
    <w:rsid w:val="000059ED"/>
    <w:rsid w:val="00017844"/>
    <w:rsid w:val="00017F14"/>
    <w:rsid w:val="00022BF0"/>
    <w:rsid w:val="00030B03"/>
    <w:rsid w:val="00045862"/>
    <w:rsid w:val="0006382D"/>
    <w:rsid w:val="00070C5D"/>
    <w:rsid w:val="000746A5"/>
    <w:rsid w:val="00094A89"/>
    <w:rsid w:val="000A082E"/>
    <w:rsid w:val="000A1C6F"/>
    <w:rsid w:val="000A39E6"/>
    <w:rsid w:val="000B6CD9"/>
    <w:rsid w:val="000C22C5"/>
    <w:rsid w:val="000C2561"/>
    <w:rsid w:val="000D6139"/>
    <w:rsid w:val="000E28CE"/>
    <w:rsid w:val="000E6244"/>
    <w:rsid w:val="000F1686"/>
    <w:rsid w:val="000F1A9C"/>
    <w:rsid w:val="000F6909"/>
    <w:rsid w:val="000F7739"/>
    <w:rsid w:val="00110C5D"/>
    <w:rsid w:val="001365E9"/>
    <w:rsid w:val="0014515A"/>
    <w:rsid w:val="001554E8"/>
    <w:rsid w:val="001569E9"/>
    <w:rsid w:val="001758A9"/>
    <w:rsid w:val="00176F94"/>
    <w:rsid w:val="00180936"/>
    <w:rsid w:val="001810E0"/>
    <w:rsid w:val="00196A07"/>
    <w:rsid w:val="001A08B4"/>
    <w:rsid w:val="001B7C3C"/>
    <w:rsid w:val="001C6A2E"/>
    <w:rsid w:val="001C7578"/>
    <w:rsid w:val="001E1630"/>
    <w:rsid w:val="001F7793"/>
    <w:rsid w:val="0021535C"/>
    <w:rsid w:val="00217A3E"/>
    <w:rsid w:val="00227B39"/>
    <w:rsid w:val="00243847"/>
    <w:rsid w:val="002615DB"/>
    <w:rsid w:val="00281C60"/>
    <w:rsid w:val="002938F0"/>
    <w:rsid w:val="00296C05"/>
    <w:rsid w:val="00297804"/>
    <w:rsid w:val="002C019C"/>
    <w:rsid w:val="002C541F"/>
    <w:rsid w:val="002F3106"/>
    <w:rsid w:val="002F6CFD"/>
    <w:rsid w:val="003149A1"/>
    <w:rsid w:val="003212D5"/>
    <w:rsid w:val="00330794"/>
    <w:rsid w:val="00331C9B"/>
    <w:rsid w:val="00357202"/>
    <w:rsid w:val="0036055C"/>
    <w:rsid w:val="00383FC7"/>
    <w:rsid w:val="00387C91"/>
    <w:rsid w:val="00390354"/>
    <w:rsid w:val="0039323D"/>
    <w:rsid w:val="003A0390"/>
    <w:rsid w:val="003A4221"/>
    <w:rsid w:val="003B2B7F"/>
    <w:rsid w:val="003D3E24"/>
    <w:rsid w:val="003D75BC"/>
    <w:rsid w:val="003F73D6"/>
    <w:rsid w:val="004243B4"/>
    <w:rsid w:val="00446A12"/>
    <w:rsid w:val="00454E6E"/>
    <w:rsid w:val="00456373"/>
    <w:rsid w:val="00466F97"/>
    <w:rsid w:val="004921F1"/>
    <w:rsid w:val="004A1E65"/>
    <w:rsid w:val="004A7B25"/>
    <w:rsid w:val="004B17EF"/>
    <w:rsid w:val="004B3D22"/>
    <w:rsid w:val="004C32A2"/>
    <w:rsid w:val="004C3ABB"/>
    <w:rsid w:val="004D5C86"/>
    <w:rsid w:val="005011E8"/>
    <w:rsid w:val="00504946"/>
    <w:rsid w:val="00533EBC"/>
    <w:rsid w:val="00551396"/>
    <w:rsid w:val="00556478"/>
    <w:rsid w:val="00557B71"/>
    <w:rsid w:val="00567B2F"/>
    <w:rsid w:val="005A4A9D"/>
    <w:rsid w:val="005A5601"/>
    <w:rsid w:val="005A71CA"/>
    <w:rsid w:val="005C4924"/>
    <w:rsid w:val="005D1B85"/>
    <w:rsid w:val="005D1BDC"/>
    <w:rsid w:val="005D21D9"/>
    <w:rsid w:val="005E30AE"/>
    <w:rsid w:val="0060355D"/>
    <w:rsid w:val="00603C74"/>
    <w:rsid w:val="00603D2B"/>
    <w:rsid w:val="00606A5C"/>
    <w:rsid w:val="006231D7"/>
    <w:rsid w:val="0064738D"/>
    <w:rsid w:val="00651F45"/>
    <w:rsid w:val="00654F41"/>
    <w:rsid w:val="006C69B7"/>
    <w:rsid w:val="006E31C6"/>
    <w:rsid w:val="006F2589"/>
    <w:rsid w:val="006F3DF7"/>
    <w:rsid w:val="006F7DF4"/>
    <w:rsid w:val="00703541"/>
    <w:rsid w:val="00712681"/>
    <w:rsid w:val="00715FF6"/>
    <w:rsid w:val="00753BDC"/>
    <w:rsid w:val="00756084"/>
    <w:rsid w:val="00757DE2"/>
    <w:rsid w:val="00761F37"/>
    <w:rsid w:val="00762F01"/>
    <w:rsid w:val="00773A94"/>
    <w:rsid w:val="007742CD"/>
    <w:rsid w:val="007A6648"/>
    <w:rsid w:val="007A6DCC"/>
    <w:rsid w:val="007D18CC"/>
    <w:rsid w:val="007D4603"/>
    <w:rsid w:val="007E0BCB"/>
    <w:rsid w:val="007F12C6"/>
    <w:rsid w:val="0080547C"/>
    <w:rsid w:val="00826401"/>
    <w:rsid w:val="00826CB0"/>
    <w:rsid w:val="00841126"/>
    <w:rsid w:val="00846119"/>
    <w:rsid w:val="00853F5D"/>
    <w:rsid w:val="0085535D"/>
    <w:rsid w:val="00855BFB"/>
    <w:rsid w:val="008623BA"/>
    <w:rsid w:val="00871B0D"/>
    <w:rsid w:val="00881929"/>
    <w:rsid w:val="00891995"/>
    <w:rsid w:val="008A74A6"/>
    <w:rsid w:val="008C745B"/>
    <w:rsid w:val="008E7A51"/>
    <w:rsid w:val="00911B36"/>
    <w:rsid w:val="009148F7"/>
    <w:rsid w:val="00917230"/>
    <w:rsid w:val="00932C8C"/>
    <w:rsid w:val="009823EC"/>
    <w:rsid w:val="00991017"/>
    <w:rsid w:val="009C4DD2"/>
    <w:rsid w:val="009D06ED"/>
    <w:rsid w:val="009F0959"/>
    <w:rsid w:val="009F6ED9"/>
    <w:rsid w:val="00A14DF0"/>
    <w:rsid w:val="00A152E3"/>
    <w:rsid w:val="00A304B3"/>
    <w:rsid w:val="00A40A3A"/>
    <w:rsid w:val="00A47A4F"/>
    <w:rsid w:val="00A50FF4"/>
    <w:rsid w:val="00A90247"/>
    <w:rsid w:val="00AA7B16"/>
    <w:rsid w:val="00AA7FF6"/>
    <w:rsid w:val="00AB4275"/>
    <w:rsid w:val="00AB450D"/>
    <w:rsid w:val="00AC3586"/>
    <w:rsid w:val="00AD6522"/>
    <w:rsid w:val="00AE7373"/>
    <w:rsid w:val="00AE79B4"/>
    <w:rsid w:val="00AF4EB7"/>
    <w:rsid w:val="00AF6D77"/>
    <w:rsid w:val="00AF7D53"/>
    <w:rsid w:val="00B00325"/>
    <w:rsid w:val="00B23A2A"/>
    <w:rsid w:val="00B6336C"/>
    <w:rsid w:val="00B640D8"/>
    <w:rsid w:val="00B679D7"/>
    <w:rsid w:val="00B73C7E"/>
    <w:rsid w:val="00B748EA"/>
    <w:rsid w:val="00B77691"/>
    <w:rsid w:val="00B865B0"/>
    <w:rsid w:val="00B90384"/>
    <w:rsid w:val="00B93ACE"/>
    <w:rsid w:val="00BB1D6D"/>
    <w:rsid w:val="00BB5F87"/>
    <w:rsid w:val="00C003D7"/>
    <w:rsid w:val="00C1202D"/>
    <w:rsid w:val="00C16468"/>
    <w:rsid w:val="00C164EA"/>
    <w:rsid w:val="00C16BEE"/>
    <w:rsid w:val="00C2144D"/>
    <w:rsid w:val="00C2497F"/>
    <w:rsid w:val="00C532F5"/>
    <w:rsid w:val="00C73C5E"/>
    <w:rsid w:val="00C81091"/>
    <w:rsid w:val="00CA58E4"/>
    <w:rsid w:val="00CC1350"/>
    <w:rsid w:val="00CC4721"/>
    <w:rsid w:val="00CD2FDA"/>
    <w:rsid w:val="00CE29AD"/>
    <w:rsid w:val="00CE64CB"/>
    <w:rsid w:val="00CF0610"/>
    <w:rsid w:val="00CF34F9"/>
    <w:rsid w:val="00CF5E7D"/>
    <w:rsid w:val="00D01FE6"/>
    <w:rsid w:val="00D04105"/>
    <w:rsid w:val="00D11A6D"/>
    <w:rsid w:val="00D16462"/>
    <w:rsid w:val="00D25D81"/>
    <w:rsid w:val="00D334B9"/>
    <w:rsid w:val="00D34C3D"/>
    <w:rsid w:val="00D555F7"/>
    <w:rsid w:val="00D56018"/>
    <w:rsid w:val="00D70C6F"/>
    <w:rsid w:val="00DA683B"/>
    <w:rsid w:val="00DC0BC6"/>
    <w:rsid w:val="00DC1EDB"/>
    <w:rsid w:val="00DC3DED"/>
    <w:rsid w:val="00DD1E46"/>
    <w:rsid w:val="00DF5E9C"/>
    <w:rsid w:val="00DF737A"/>
    <w:rsid w:val="00E209A0"/>
    <w:rsid w:val="00E34BFB"/>
    <w:rsid w:val="00E50C01"/>
    <w:rsid w:val="00E51A06"/>
    <w:rsid w:val="00E61D15"/>
    <w:rsid w:val="00E67457"/>
    <w:rsid w:val="00E90093"/>
    <w:rsid w:val="00E96476"/>
    <w:rsid w:val="00EA518F"/>
    <w:rsid w:val="00EB2C2F"/>
    <w:rsid w:val="00EC7641"/>
    <w:rsid w:val="00EF62FD"/>
    <w:rsid w:val="00F10DCD"/>
    <w:rsid w:val="00F17F61"/>
    <w:rsid w:val="00F52529"/>
    <w:rsid w:val="00F53E93"/>
    <w:rsid w:val="00F67551"/>
    <w:rsid w:val="00F92797"/>
    <w:rsid w:val="00FA03C6"/>
    <w:rsid w:val="00FA0C1D"/>
    <w:rsid w:val="00FA76E0"/>
    <w:rsid w:val="00FB4D25"/>
    <w:rsid w:val="00FB73D5"/>
    <w:rsid w:val="00FD0C1F"/>
    <w:rsid w:val="00FD3B13"/>
    <w:rsid w:val="00FF569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1109A-8A0D-4E7B-B4E7-AF32437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29"/>
  </w:style>
  <w:style w:type="paragraph" w:styleId="Footer">
    <w:name w:val="footer"/>
    <w:basedOn w:val="Normal"/>
    <w:link w:val="Foot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29"/>
  </w:style>
  <w:style w:type="character" w:styleId="Hyperlink">
    <w:name w:val="Hyperlink"/>
    <w:rsid w:val="0088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TableGrid">
    <w:name w:val="Table Grid"/>
    <w:basedOn w:val="TableNormal"/>
    <w:uiPriority w:val="59"/>
    <w:rsid w:val="00A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1">
    <w:name w:val="Svijetla rešetka1"/>
    <w:basedOn w:val="TableNormal"/>
    <w:uiPriority w:val="62"/>
    <w:rsid w:val="00AC35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  <w:style w:type="table" w:styleId="ListTable7Colorful">
    <w:name w:val="List Table 7 Colorful"/>
    <w:basedOn w:val="TableNormal"/>
    <w:uiPriority w:val="52"/>
    <w:rsid w:val="00DA68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70C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ss.hr" TargetMode="External"/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solidFill>
                  <a:schemeClr val="tx1"/>
                </a:solidFill>
              </a:rPr>
              <a:t>096 - Dodatne usluge u obrazovanju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Sheet1!$D$14</c:f>
              <c:strCache>
                <c:ptCount val="1"/>
                <c:pt idx="0">
                  <c:v>096 - Dodatne usluge u obrazovanju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Sheet1!$C$15:$C$21</c:f>
              <c:strCache>
                <c:ptCount val="7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  <c:pt idx="4">
                  <c:v>2020.</c:v>
                </c:pt>
                <c:pt idx="5">
                  <c:v>2021.</c:v>
                </c:pt>
                <c:pt idx="6">
                  <c:v>2022.</c:v>
                </c:pt>
              </c:strCache>
            </c:strRef>
          </c:cat>
          <c:val>
            <c:numRef>
              <c:f>Sheet1!$D$15:$D$21</c:f>
              <c:numCache>
                <c:formatCode>#,##0.00</c:formatCode>
                <c:ptCount val="7"/>
                <c:pt idx="0">
                  <c:v>790314.73</c:v>
                </c:pt>
                <c:pt idx="1">
                  <c:v>817253.33</c:v>
                </c:pt>
                <c:pt idx="2">
                  <c:v>945224.36</c:v>
                </c:pt>
                <c:pt idx="3">
                  <c:v>995776.68</c:v>
                </c:pt>
                <c:pt idx="4">
                  <c:v>851984.86</c:v>
                </c:pt>
                <c:pt idx="5">
                  <c:v>978718.24</c:v>
                </c:pt>
                <c:pt idx="6">
                  <c:v>1138128.3500000001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39251712"/>
        <c:axId val="2139245184"/>
      </c:barChart>
      <c:catAx>
        <c:axId val="213925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39245184"/>
        <c:crosses val="autoZero"/>
        <c:auto val="1"/>
        <c:lblAlgn val="ctr"/>
        <c:lblOffset val="100"/>
        <c:noMultiLvlLbl val="0"/>
      </c:catAx>
      <c:valAx>
        <c:axId val="21392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392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DVSS Ravnateljica</dc:creator>
  <cp:lastModifiedBy>Ivana</cp:lastModifiedBy>
  <cp:revision>5</cp:revision>
  <cp:lastPrinted>2023-01-27T10:07:00Z</cp:lastPrinted>
  <dcterms:created xsi:type="dcterms:W3CDTF">2023-01-30T13:58:00Z</dcterms:created>
  <dcterms:modified xsi:type="dcterms:W3CDTF">2023-01-31T07:47:00Z</dcterms:modified>
</cp:coreProperties>
</file>